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3FB2" w14:textId="31892F58" w:rsidR="008C4DDF" w:rsidRDefault="00F02B79" w:rsidP="00CB44C5">
      <w:pPr>
        <w:pStyle w:val="Heading1"/>
      </w:pPr>
      <w:bookmarkStart w:id="0" w:name="_GoBack"/>
      <w:bookmarkEnd w:id="0"/>
      <w:r>
        <w:t>Summary of Spring 2019 student survey about housing, food, transportation, health, and digital access</w:t>
      </w:r>
      <w:r w:rsidR="00175CC6">
        <w:t>: select results</w:t>
      </w:r>
      <w:r w:rsidR="007108CC">
        <w:t xml:space="preserve"> (updated </w:t>
      </w:r>
      <w:r w:rsidR="0041506F">
        <w:t>January</w:t>
      </w:r>
      <w:r w:rsidR="007108CC">
        <w:t xml:space="preserve"> </w:t>
      </w:r>
      <w:r w:rsidR="0041506F">
        <w:t>6</w:t>
      </w:r>
      <w:r w:rsidR="007108CC">
        <w:t>, 2019)</w:t>
      </w:r>
    </w:p>
    <w:p w14:paraId="1C123A92" w14:textId="497625CF" w:rsidR="00F02B79" w:rsidRDefault="00F02B79"/>
    <w:p w14:paraId="549553B5" w14:textId="7381B599" w:rsidR="00CB44C5" w:rsidRDefault="00CB44C5">
      <w:r>
        <w:t xml:space="preserve">Nicole Peterson, Department of Anthropology, in collaboration with </w:t>
      </w:r>
      <w:r w:rsidRPr="00CB44C5">
        <w:t>Ellissa Brooks Nelson</w:t>
      </w:r>
      <w:r w:rsidR="007108CC">
        <w:t>,</w:t>
      </w:r>
      <w:r w:rsidRPr="00CB44C5">
        <w:t xml:space="preserve"> </w:t>
      </w:r>
      <w:r>
        <w:t>Erin Bentrim</w:t>
      </w:r>
    </w:p>
    <w:p w14:paraId="69EE3EB0" w14:textId="77777777" w:rsidR="00CB44C5" w:rsidRDefault="00CB44C5"/>
    <w:p w14:paraId="5FFD4E47" w14:textId="124331AF" w:rsidR="00F02B79" w:rsidRDefault="00F02B79">
      <w:r w:rsidRPr="00CB44C5">
        <w:rPr>
          <w:b/>
        </w:rPr>
        <w:t>Total number of responses (those 18 or older): 778</w:t>
      </w:r>
      <w:r w:rsidR="00BF46AB">
        <w:rPr>
          <w:b/>
        </w:rPr>
        <w:t xml:space="preserve"> </w:t>
      </w:r>
      <w:r w:rsidR="00BF46AB" w:rsidRPr="00247C82">
        <w:t>(survey sent to 6,000 students)</w:t>
      </w:r>
      <w:r w:rsidR="00601805">
        <w:t xml:space="preserve"> </w:t>
      </w:r>
      <w:r w:rsidR="00247C82" w:rsidRPr="00247C82">
        <w:t>= 13.0% response rate</w:t>
      </w:r>
      <w:r w:rsidR="007108CC">
        <w:t xml:space="preserve"> (531 answered the USDA questions)</w:t>
      </w:r>
      <w:r w:rsidR="00DB294A">
        <w:t>; 178 questions with skip logic (22 minute mean time)</w:t>
      </w:r>
    </w:p>
    <w:p w14:paraId="32FC99AE" w14:textId="1FA06A60" w:rsidR="00CE0016" w:rsidRDefault="00CE0016">
      <w:pPr>
        <w:rPr>
          <w:b/>
        </w:rPr>
      </w:pPr>
    </w:p>
    <w:p w14:paraId="54A68CA1" w14:textId="77777777" w:rsidR="00CE0016" w:rsidRDefault="00CE0016" w:rsidP="00CE0016">
      <w:pPr>
        <w:rPr>
          <w:b/>
        </w:rPr>
      </w:pPr>
      <w:r>
        <w:rPr>
          <w:b/>
        </w:rPr>
        <w:t>Who is food insecure?</w:t>
      </w:r>
    </w:p>
    <w:p w14:paraId="22DB7BE6" w14:textId="6A044416" w:rsidR="00D722D4" w:rsidRDefault="00D722D4" w:rsidP="00D722D4">
      <w:r>
        <w:t>32% of respondents are considered to have low or very low food security by the USDA, while almost 50% have high food security</w:t>
      </w:r>
    </w:p>
    <w:p w14:paraId="318A9E1D" w14:textId="4F57C8C9" w:rsidR="00D722D4" w:rsidRPr="00D722D4" w:rsidRDefault="00D722D4" w:rsidP="00D722D4">
      <w:pPr>
        <w:rPr>
          <w:i/>
          <w:iCs/>
        </w:rPr>
      </w:pPr>
      <w:r w:rsidRPr="00D722D4">
        <w:rPr>
          <w:i/>
          <w:iCs/>
        </w:rPr>
        <w:t>USDA food security scores (of those who answered the questions</w:t>
      </w:r>
      <w:r>
        <w:rPr>
          <w:i/>
          <w:iCs/>
        </w:rPr>
        <w:t>, N=531</w:t>
      </w:r>
      <w:r w:rsidRPr="00D722D4">
        <w:rPr>
          <w:i/>
          <w:iCs/>
        </w:rPr>
        <w:t>):</w:t>
      </w:r>
    </w:p>
    <w:tbl>
      <w:tblPr>
        <w:tblStyle w:val="GridTable4-Accent3"/>
        <w:tblW w:w="9360" w:type="dxa"/>
        <w:tblLook w:val="04A0" w:firstRow="1" w:lastRow="0" w:firstColumn="1" w:lastColumn="0" w:noHBand="0" w:noVBand="1"/>
      </w:tblPr>
      <w:tblGrid>
        <w:gridCol w:w="2250"/>
        <w:gridCol w:w="2610"/>
        <w:gridCol w:w="1980"/>
        <w:gridCol w:w="1350"/>
        <w:gridCol w:w="1170"/>
      </w:tblGrid>
      <w:tr w:rsidR="00D722D4" w:rsidRPr="003630BB" w14:paraId="04064F89" w14:textId="77777777" w:rsidTr="00FC449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DE07E3A" w14:textId="77777777" w:rsidR="00D722D4" w:rsidRPr="007F2BDC" w:rsidRDefault="00D722D4" w:rsidP="00D722D4">
            <w:pPr>
              <w:jc w:val="center"/>
              <w:rPr>
                <w:rFonts w:ascii="Calibri" w:eastAsia="Times New Roman" w:hAnsi="Calibri" w:cs="Calibri"/>
                <w:color w:val="000000"/>
                <w:sz w:val="22"/>
              </w:rPr>
            </w:pPr>
            <w:r w:rsidRPr="003630BB">
              <w:rPr>
                <w:rFonts w:ascii="Calibri" w:eastAsia="Times New Roman" w:hAnsi="Calibri" w:cs="Calibri"/>
                <w:bCs w:val="0"/>
                <w:color w:val="000000"/>
                <w:sz w:val="22"/>
              </w:rPr>
              <w:t>Number of affirmative answers</w:t>
            </w:r>
          </w:p>
        </w:tc>
        <w:tc>
          <w:tcPr>
            <w:tcW w:w="2610" w:type="dxa"/>
            <w:noWrap/>
            <w:hideMark/>
          </w:tcPr>
          <w:p w14:paraId="185739AF" w14:textId="77777777" w:rsidR="00D722D4" w:rsidRPr="007F2BDC" w:rsidRDefault="00D722D4" w:rsidP="00D722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3630BB">
              <w:rPr>
                <w:rFonts w:ascii="Calibri" w:eastAsia="Times New Roman" w:hAnsi="Calibri" w:cs="Calibri"/>
                <w:bCs w:val="0"/>
                <w:color w:val="000000"/>
                <w:sz w:val="22"/>
              </w:rPr>
              <w:t>Number of respondents with this score</w:t>
            </w:r>
          </w:p>
        </w:tc>
        <w:tc>
          <w:tcPr>
            <w:tcW w:w="1980" w:type="dxa"/>
          </w:tcPr>
          <w:p w14:paraId="654CB468" w14:textId="77777777" w:rsidR="00D722D4" w:rsidRPr="003630BB" w:rsidRDefault="00D722D4" w:rsidP="00D722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3630BB">
              <w:rPr>
                <w:rFonts w:ascii="Calibri" w:eastAsia="Times New Roman" w:hAnsi="Calibri" w:cs="Calibri"/>
                <w:color w:val="000000"/>
                <w:sz w:val="22"/>
              </w:rPr>
              <w:t>USDA categories</w:t>
            </w:r>
          </w:p>
        </w:tc>
        <w:tc>
          <w:tcPr>
            <w:tcW w:w="1350" w:type="dxa"/>
            <w:noWrap/>
            <w:hideMark/>
          </w:tcPr>
          <w:p w14:paraId="4AB1DEB6" w14:textId="77777777" w:rsidR="00D722D4" w:rsidRPr="007F2BDC" w:rsidRDefault="00D722D4" w:rsidP="00D722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Count</w:t>
            </w:r>
          </w:p>
        </w:tc>
        <w:tc>
          <w:tcPr>
            <w:tcW w:w="1170" w:type="dxa"/>
            <w:noWrap/>
            <w:hideMark/>
          </w:tcPr>
          <w:p w14:paraId="24B9B94C" w14:textId="77777777" w:rsidR="00D722D4" w:rsidRPr="003630BB" w:rsidRDefault="00D722D4" w:rsidP="00D722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Percent</w:t>
            </w:r>
          </w:p>
        </w:tc>
      </w:tr>
      <w:tr w:rsidR="00D722D4" w:rsidRPr="003630BB" w14:paraId="7AA35BAD"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0125F3B8"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0</w:t>
            </w:r>
          </w:p>
        </w:tc>
        <w:tc>
          <w:tcPr>
            <w:tcW w:w="2610" w:type="dxa"/>
            <w:noWrap/>
            <w:hideMark/>
          </w:tcPr>
          <w:p w14:paraId="28038F1F"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260</w:t>
            </w:r>
          </w:p>
        </w:tc>
        <w:tc>
          <w:tcPr>
            <w:tcW w:w="1980" w:type="dxa"/>
          </w:tcPr>
          <w:p w14:paraId="2B96515C"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High food security</w:t>
            </w:r>
          </w:p>
        </w:tc>
        <w:tc>
          <w:tcPr>
            <w:tcW w:w="1350" w:type="dxa"/>
            <w:noWrap/>
            <w:hideMark/>
          </w:tcPr>
          <w:p w14:paraId="40BC0522"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260</w:t>
            </w:r>
          </w:p>
        </w:tc>
        <w:tc>
          <w:tcPr>
            <w:tcW w:w="1170" w:type="dxa"/>
            <w:noWrap/>
            <w:hideMark/>
          </w:tcPr>
          <w:p w14:paraId="081DCF38"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49</w:t>
            </w:r>
          </w:p>
        </w:tc>
      </w:tr>
      <w:tr w:rsidR="00D722D4" w:rsidRPr="003630BB" w14:paraId="3D87B0E0"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800EEDC"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1</w:t>
            </w:r>
          </w:p>
        </w:tc>
        <w:tc>
          <w:tcPr>
            <w:tcW w:w="2610" w:type="dxa"/>
            <w:noWrap/>
            <w:hideMark/>
          </w:tcPr>
          <w:p w14:paraId="06D8673C"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63</w:t>
            </w:r>
          </w:p>
        </w:tc>
        <w:tc>
          <w:tcPr>
            <w:tcW w:w="1980" w:type="dxa"/>
            <w:vMerge w:val="restart"/>
          </w:tcPr>
          <w:p w14:paraId="36FD1F32"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Marginal food security</w:t>
            </w:r>
          </w:p>
        </w:tc>
        <w:tc>
          <w:tcPr>
            <w:tcW w:w="1350" w:type="dxa"/>
            <w:vMerge w:val="restart"/>
            <w:noWrap/>
            <w:hideMark/>
          </w:tcPr>
          <w:p w14:paraId="27A2960F"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101</w:t>
            </w:r>
          </w:p>
        </w:tc>
        <w:tc>
          <w:tcPr>
            <w:tcW w:w="1170" w:type="dxa"/>
            <w:vMerge w:val="restart"/>
            <w:noWrap/>
            <w:hideMark/>
          </w:tcPr>
          <w:p w14:paraId="23638F93"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19</w:t>
            </w:r>
          </w:p>
        </w:tc>
      </w:tr>
      <w:tr w:rsidR="00D722D4" w:rsidRPr="003630BB" w14:paraId="487CD965"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19995D3D"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2</w:t>
            </w:r>
          </w:p>
        </w:tc>
        <w:tc>
          <w:tcPr>
            <w:tcW w:w="2610" w:type="dxa"/>
            <w:noWrap/>
            <w:hideMark/>
          </w:tcPr>
          <w:p w14:paraId="2B9ABB29"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38</w:t>
            </w:r>
          </w:p>
        </w:tc>
        <w:tc>
          <w:tcPr>
            <w:tcW w:w="1980" w:type="dxa"/>
            <w:vMerge/>
          </w:tcPr>
          <w:p w14:paraId="6A0AF11A"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40D07126"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17919E91"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239F4B12"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78ACE4C9"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3</w:t>
            </w:r>
          </w:p>
        </w:tc>
        <w:tc>
          <w:tcPr>
            <w:tcW w:w="2610" w:type="dxa"/>
            <w:noWrap/>
            <w:hideMark/>
          </w:tcPr>
          <w:p w14:paraId="1BD1DED8"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30</w:t>
            </w:r>
          </w:p>
        </w:tc>
        <w:tc>
          <w:tcPr>
            <w:tcW w:w="1980" w:type="dxa"/>
            <w:vMerge w:val="restart"/>
          </w:tcPr>
          <w:p w14:paraId="5D5EC6A1"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Low food security</w:t>
            </w:r>
          </w:p>
        </w:tc>
        <w:tc>
          <w:tcPr>
            <w:tcW w:w="1350" w:type="dxa"/>
            <w:vMerge w:val="restart"/>
            <w:noWrap/>
            <w:hideMark/>
          </w:tcPr>
          <w:p w14:paraId="17F6F73E"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78</w:t>
            </w:r>
          </w:p>
        </w:tc>
        <w:tc>
          <w:tcPr>
            <w:tcW w:w="1170" w:type="dxa"/>
            <w:vMerge w:val="restart"/>
            <w:noWrap/>
            <w:hideMark/>
          </w:tcPr>
          <w:p w14:paraId="7877B673"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15</w:t>
            </w:r>
          </w:p>
        </w:tc>
      </w:tr>
      <w:tr w:rsidR="00D722D4" w:rsidRPr="003630BB" w14:paraId="35C46319"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10FBD98"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4</w:t>
            </w:r>
          </w:p>
        </w:tc>
        <w:tc>
          <w:tcPr>
            <w:tcW w:w="2610" w:type="dxa"/>
            <w:noWrap/>
            <w:hideMark/>
          </w:tcPr>
          <w:p w14:paraId="43E931B5"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26</w:t>
            </w:r>
          </w:p>
        </w:tc>
        <w:tc>
          <w:tcPr>
            <w:tcW w:w="1980" w:type="dxa"/>
            <w:vMerge/>
          </w:tcPr>
          <w:p w14:paraId="6424BD26"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7079572F"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7A1293FE"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481B35D1"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4A1A783E"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5</w:t>
            </w:r>
          </w:p>
        </w:tc>
        <w:tc>
          <w:tcPr>
            <w:tcW w:w="2610" w:type="dxa"/>
            <w:noWrap/>
            <w:hideMark/>
          </w:tcPr>
          <w:p w14:paraId="7483CB45"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22</w:t>
            </w:r>
          </w:p>
        </w:tc>
        <w:tc>
          <w:tcPr>
            <w:tcW w:w="1980" w:type="dxa"/>
            <w:vMerge/>
          </w:tcPr>
          <w:p w14:paraId="7F1A13B8"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26736B36"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34E4C9B7"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610696EC"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56EC5F94"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6</w:t>
            </w:r>
          </w:p>
        </w:tc>
        <w:tc>
          <w:tcPr>
            <w:tcW w:w="2610" w:type="dxa"/>
            <w:noWrap/>
            <w:hideMark/>
          </w:tcPr>
          <w:p w14:paraId="451B83A3"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27</w:t>
            </w:r>
          </w:p>
        </w:tc>
        <w:tc>
          <w:tcPr>
            <w:tcW w:w="1980" w:type="dxa"/>
            <w:vMerge w:val="restart"/>
          </w:tcPr>
          <w:p w14:paraId="4B95DA02"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Very low food security</w:t>
            </w:r>
          </w:p>
        </w:tc>
        <w:tc>
          <w:tcPr>
            <w:tcW w:w="1350" w:type="dxa"/>
            <w:vMerge w:val="restart"/>
            <w:noWrap/>
            <w:hideMark/>
          </w:tcPr>
          <w:p w14:paraId="4ED957BE"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92</w:t>
            </w:r>
          </w:p>
        </w:tc>
        <w:tc>
          <w:tcPr>
            <w:tcW w:w="1170" w:type="dxa"/>
            <w:vMerge w:val="restart"/>
            <w:noWrap/>
            <w:hideMark/>
          </w:tcPr>
          <w:p w14:paraId="0307E5C6"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17</w:t>
            </w:r>
          </w:p>
        </w:tc>
      </w:tr>
      <w:tr w:rsidR="00D722D4" w:rsidRPr="003630BB" w14:paraId="27C33620"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54D8CC34"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7</w:t>
            </w:r>
          </w:p>
        </w:tc>
        <w:tc>
          <w:tcPr>
            <w:tcW w:w="2610" w:type="dxa"/>
            <w:noWrap/>
            <w:hideMark/>
          </w:tcPr>
          <w:p w14:paraId="1C1ECA06"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32</w:t>
            </w:r>
          </w:p>
        </w:tc>
        <w:tc>
          <w:tcPr>
            <w:tcW w:w="1980" w:type="dxa"/>
            <w:vMerge/>
          </w:tcPr>
          <w:p w14:paraId="64390791"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7AE43923"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2070F066"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2F18F54D"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07001E87"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8</w:t>
            </w:r>
          </w:p>
        </w:tc>
        <w:tc>
          <w:tcPr>
            <w:tcW w:w="2610" w:type="dxa"/>
            <w:noWrap/>
            <w:hideMark/>
          </w:tcPr>
          <w:p w14:paraId="2A9FDDA9"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16</w:t>
            </w:r>
          </w:p>
        </w:tc>
        <w:tc>
          <w:tcPr>
            <w:tcW w:w="1980" w:type="dxa"/>
            <w:vMerge/>
          </w:tcPr>
          <w:p w14:paraId="52077436"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030210F7"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015182F0"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37BB2404"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B8759B7"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9</w:t>
            </w:r>
          </w:p>
        </w:tc>
        <w:tc>
          <w:tcPr>
            <w:tcW w:w="2610" w:type="dxa"/>
            <w:noWrap/>
            <w:hideMark/>
          </w:tcPr>
          <w:p w14:paraId="4289AADE"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9</w:t>
            </w:r>
          </w:p>
        </w:tc>
        <w:tc>
          <w:tcPr>
            <w:tcW w:w="1980" w:type="dxa"/>
            <w:vMerge/>
          </w:tcPr>
          <w:p w14:paraId="366CDFBD"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09D02E61"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128FF51D"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581B2CF5" w14:textId="77777777" w:rsidTr="00FC44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1617610"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10</w:t>
            </w:r>
          </w:p>
        </w:tc>
        <w:tc>
          <w:tcPr>
            <w:tcW w:w="2610" w:type="dxa"/>
            <w:noWrap/>
            <w:hideMark/>
          </w:tcPr>
          <w:p w14:paraId="32FAF7AA"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7F2BDC">
              <w:rPr>
                <w:rFonts w:ascii="Calibri" w:eastAsia="Times New Roman" w:hAnsi="Calibri" w:cs="Calibri"/>
                <w:color w:val="000000"/>
                <w:sz w:val="22"/>
              </w:rPr>
              <w:t>8</w:t>
            </w:r>
          </w:p>
        </w:tc>
        <w:tc>
          <w:tcPr>
            <w:tcW w:w="1980" w:type="dxa"/>
            <w:vMerge/>
          </w:tcPr>
          <w:p w14:paraId="60FC02E8" w14:textId="77777777" w:rsidR="00D722D4" w:rsidRPr="003630BB"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350" w:type="dxa"/>
            <w:vMerge/>
            <w:noWrap/>
            <w:hideMark/>
          </w:tcPr>
          <w:p w14:paraId="3F08696E"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p>
        </w:tc>
        <w:tc>
          <w:tcPr>
            <w:tcW w:w="1170" w:type="dxa"/>
            <w:vMerge/>
            <w:noWrap/>
            <w:hideMark/>
          </w:tcPr>
          <w:p w14:paraId="40C1710F" w14:textId="77777777" w:rsidR="00D722D4" w:rsidRPr="007F2BDC" w:rsidRDefault="00D722D4" w:rsidP="00D722D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0"/>
              </w:rPr>
            </w:pPr>
          </w:p>
        </w:tc>
      </w:tr>
      <w:tr w:rsidR="00D722D4" w:rsidRPr="003630BB" w14:paraId="7C3EB337" w14:textId="77777777" w:rsidTr="00FC4495">
        <w:trPr>
          <w:trHeight w:val="2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5988B0C" w14:textId="77777777" w:rsidR="00D722D4" w:rsidRPr="007F2BDC" w:rsidRDefault="00D722D4" w:rsidP="00D722D4">
            <w:pPr>
              <w:jc w:val="center"/>
              <w:rPr>
                <w:rFonts w:ascii="Calibri" w:eastAsia="Times New Roman" w:hAnsi="Calibri" w:cs="Calibri"/>
                <w:color w:val="000000"/>
                <w:sz w:val="22"/>
              </w:rPr>
            </w:pPr>
            <w:r w:rsidRPr="007F2BDC">
              <w:rPr>
                <w:rFonts w:ascii="Calibri" w:eastAsia="Times New Roman" w:hAnsi="Calibri" w:cs="Calibri"/>
                <w:color w:val="000000"/>
                <w:sz w:val="22"/>
              </w:rPr>
              <w:t>Grand Total</w:t>
            </w:r>
          </w:p>
        </w:tc>
        <w:tc>
          <w:tcPr>
            <w:tcW w:w="2610" w:type="dxa"/>
            <w:noWrap/>
            <w:hideMark/>
          </w:tcPr>
          <w:p w14:paraId="681B0F3E"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rPr>
            </w:pPr>
            <w:r w:rsidRPr="007F2BDC">
              <w:rPr>
                <w:rFonts w:ascii="Calibri" w:eastAsia="Times New Roman" w:hAnsi="Calibri" w:cs="Calibri"/>
                <w:b/>
                <w:bCs/>
                <w:color w:val="000000"/>
                <w:sz w:val="22"/>
              </w:rPr>
              <w:t>531</w:t>
            </w:r>
          </w:p>
        </w:tc>
        <w:tc>
          <w:tcPr>
            <w:tcW w:w="1980" w:type="dxa"/>
          </w:tcPr>
          <w:p w14:paraId="7124AD17" w14:textId="77777777" w:rsidR="00D722D4" w:rsidRPr="003630BB"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p>
        </w:tc>
        <w:tc>
          <w:tcPr>
            <w:tcW w:w="1350" w:type="dxa"/>
            <w:noWrap/>
            <w:hideMark/>
          </w:tcPr>
          <w:p w14:paraId="271136F4"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rPr>
            </w:pPr>
            <w:r w:rsidRPr="007F2BDC">
              <w:rPr>
                <w:rFonts w:ascii="Calibri" w:eastAsia="Times New Roman" w:hAnsi="Calibri" w:cs="Calibri"/>
                <w:b/>
                <w:color w:val="000000"/>
                <w:sz w:val="22"/>
              </w:rPr>
              <w:t>531</w:t>
            </w:r>
          </w:p>
        </w:tc>
        <w:tc>
          <w:tcPr>
            <w:tcW w:w="1170" w:type="dxa"/>
            <w:noWrap/>
            <w:hideMark/>
          </w:tcPr>
          <w:p w14:paraId="5A76022F" w14:textId="77777777" w:rsidR="00D722D4" w:rsidRPr="007F2BDC" w:rsidRDefault="00D722D4" w:rsidP="00D722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rPr>
            </w:pPr>
            <w:r w:rsidRPr="007F2BDC">
              <w:rPr>
                <w:rFonts w:ascii="Calibri" w:eastAsia="Times New Roman" w:hAnsi="Calibri" w:cs="Calibri"/>
                <w:b/>
                <w:color w:val="000000"/>
                <w:sz w:val="22"/>
              </w:rPr>
              <w:t>100</w:t>
            </w:r>
          </w:p>
        </w:tc>
      </w:tr>
    </w:tbl>
    <w:p w14:paraId="0C6E45A3" w14:textId="77777777" w:rsidR="00D722D4" w:rsidRDefault="00D722D4" w:rsidP="00D722D4">
      <w:r>
        <w:t>We also asked non-financial versions of the USDA food security questions, which gave us a similar set of percentages, with 24.94% at low or very low food security.</w:t>
      </w:r>
    </w:p>
    <w:p w14:paraId="5757FD7C" w14:textId="77777777" w:rsidR="00D722D4" w:rsidRDefault="00CE0016" w:rsidP="00360726">
      <w:pPr>
        <w:pStyle w:val="ListParagraph"/>
        <w:numPr>
          <w:ilvl w:val="0"/>
          <w:numId w:val="9"/>
        </w:numPr>
      </w:pPr>
      <w:r w:rsidRPr="00360726">
        <w:rPr>
          <w:i/>
        </w:rPr>
        <w:t xml:space="preserve">Year in school: </w:t>
      </w:r>
      <w:r>
        <w:t xml:space="preserve">As in 2015, we </w:t>
      </w:r>
    </w:p>
    <w:tbl>
      <w:tblPr>
        <w:tblStyle w:val="GridTable4-Accent3"/>
        <w:tblpPr w:leftFromText="180" w:rightFromText="180" w:vertAnchor="text" w:horzAnchor="margin" w:tblpXSpec="right" w:tblpY="-64"/>
        <w:tblW w:w="0" w:type="auto"/>
        <w:tblLook w:val="04A0" w:firstRow="1" w:lastRow="0" w:firstColumn="1" w:lastColumn="0" w:noHBand="0" w:noVBand="1"/>
      </w:tblPr>
      <w:tblGrid>
        <w:gridCol w:w="3055"/>
        <w:gridCol w:w="3600"/>
      </w:tblGrid>
      <w:tr w:rsidR="00D722D4" w14:paraId="600D5019" w14:textId="77777777" w:rsidTr="00993C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5A46A64" w14:textId="77777777" w:rsidR="00D722D4" w:rsidRDefault="00D722D4" w:rsidP="00D722D4">
            <w:pPr>
              <w:jc w:val="center"/>
            </w:pPr>
            <w:r>
              <w:t>Year in school</w:t>
            </w:r>
          </w:p>
        </w:tc>
        <w:tc>
          <w:tcPr>
            <w:tcW w:w="3600" w:type="dxa"/>
          </w:tcPr>
          <w:p w14:paraId="6F927131" w14:textId="77777777" w:rsidR="00D722D4" w:rsidRDefault="00D722D4" w:rsidP="00D722D4">
            <w:pPr>
              <w:jc w:val="center"/>
              <w:cnfStyle w:val="100000000000" w:firstRow="1" w:lastRow="0" w:firstColumn="0" w:lastColumn="0" w:oddVBand="0" w:evenVBand="0" w:oddHBand="0" w:evenHBand="0" w:firstRowFirstColumn="0" w:firstRowLastColumn="0" w:lastRowFirstColumn="0" w:lastRowLastColumn="0"/>
            </w:pPr>
            <w:r>
              <w:t>Percent of students who are food insecure under the USDA measure (number of students)</w:t>
            </w:r>
          </w:p>
        </w:tc>
      </w:tr>
      <w:tr w:rsidR="00D722D4" w14:paraId="61009432" w14:textId="77777777" w:rsidTr="0099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9C6AD1D" w14:textId="77777777" w:rsidR="00D722D4" w:rsidRDefault="00D722D4" w:rsidP="00D722D4">
            <w:pPr>
              <w:jc w:val="center"/>
            </w:pPr>
            <w:r>
              <w:t>First</w:t>
            </w:r>
          </w:p>
        </w:tc>
        <w:tc>
          <w:tcPr>
            <w:tcW w:w="3600" w:type="dxa"/>
          </w:tcPr>
          <w:p w14:paraId="55EC302A" w14:textId="77777777" w:rsidR="00D722D4" w:rsidRDefault="00D722D4" w:rsidP="00D722D4">
            <w:pPr>
              <w:jc w:val="center"/>
              <w:cnfStyle w:val="000000100000" w:firstRow="0" w:lastRow="0" w:firstColumn="0" w:lastColumn="0" w:oddVBand="0" w:evenVBand="0" w:oddHBand="1" w:evenHBand="0" w:firstRowFirstColumn="0" w:firstRowLastColumn="0" w:lastRowFirstColumn="0" w:lastRowLastColumn="0"/>
            </w:pPr>
            <w:r>
              <w:t>22.3 (23)</w:t>
            </w:r>
          </w:p>
        </w:tc>
      </w:tr>
      <w:tr w:rsidR="00D722D4" w14:paraId="17B2EABC" w14:textId="77777777" w:rsidTr="00993C40">
        <w:tc>
          <w:tcPr>
            <w:cnfStyle w:val="001000000000" w:firstRow="0" w:lastRow="0" w:firstColumn="1" w:lastColumn="0" w:oddVBand="0" w:evenVBand="0" w:oddHBand="0" w:evenHBand="0" w:firstRowFirstColumn="0" w:firstRowLastColumn="0" w:lastRowFirstColumn="0" w:lastRowLastColumn="0"/>
            <w:tcW w:w="3055" w:type="dxa"/>
          </w:tcPr>
          <w:p w14:paraId="6E42334E" w14:textId="77777777" w:rsidR="00D722D4" w:rsidRDefault="00D722D4" w:rsidP="00D722D4">
            <w:pPr>
              <w:jc w:val="center"/>
            </w:pPr>
            <w:r>
              <w:t>Second</w:t>
            </w:r>
          </w:p>
        </w:tc>
        <w:tc>
          <w:tcPr>
            <w:tcW w:w="3600" w:type="dxa"/>
          </w:tcPr>
          <w:p w14:paraId="7CB71BD0" w14:textId="77777777" w:rsidR="00D722D4" w:rsidRDefault="00D722D4" w:rsidP="00D722D4">
            <w:pPr>
              <w:jc w:val="center"/>
              <w:cnfStyle w:val="000000000000" w:firstRow="0" w:lastRow="0" w:firstColumn="0" w:lastColumn="0" w:oddVBand="0" w:evenVBand="0" w:oddHBand="0" w:evenHBand="0" w:firstRowFirstColumn="0" w:firstRowLastColumn="0" w:lastRowFirstColumn="0" w:lastRowLastColumn="0"/>
            </w:pPr>
            <w:r>
              <w:t>31.4 (22)</w:t>
            </w:r>
          </w:p>
        </w:tc>
      </w:tr>
      <w:tr w:rsidR="00D722D4" w14:paraId="2C9C9FEE" w14:textId="77777777" w:rsidTr="0099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5E3DEA0" w14:textId="77777777" w:rsidR="00D722D4" w:rsidRDefault="00D722D4" w:rsidP="00D722D4">
            <w:pPr>
              <w:jc w:val="center"/>
            </w:pPr>
            <w:r>
              <w:t>Third</w:t>
            </w:r>
          </w:p>
        </w:tc>
        <w:tc>
          <w:tcPr>
            <w:tcW w:w="3600" w:type="dxa"/>
          </w:tcPr>
          <w:p w14:paraId="51E08008" w14:textId="77777777" w:rsidR="00D722D4" w:rsidRDefault="00D722D4" w:rsidP="00D722D4">
            <w:pPr>
              <w:jc w:val="center"/>
              <w:cnfStyle w:val="000000100000" w:firstRow="0" w:lastRow="0" w:firstColumn="0" w:lastColumn="0" w:oddVBand="0" w:evenVBand="0" w:oddHBand="1" w:evenHBand="0" w:firstRowFirstColumn="0" w:firstRowLastColumn="0" w:lastRowFirstColumn="0" w:lastRowLastColumn="0"/>
            </w:pPr>
            <w:r>
              <w:t>37.7 (43)</w:t>
            </w:r>
          </w:p>
        </w:tc>
      </w:tr>
      <w:tr w:rsidR="00D722D4" w14:paraId="44EE673D" w14:textId="77777777" w:rsidTr="00993C40">
        <w:tc>
          <w:tcPr>
            <w:cnfStyle w:val="001000000000" w:firstRow="0" w:lastRow="0" w:firstColumn="1" w:lastColumn="0" w:oddVBand="0" w:evenVBand="0" w:oddHBand="0" w:evenHBand="0" w:firstRowFirstColumn="0" w:firstRowLastColumn="0" w:lastRowFirstColumn="0" w:lastRowLastColumn="0"/>
            <w:tcW w:w="3055" w:type="dxa"/>
          </w:tcPr>
          <w:p w14:paraId="0FB02BF4" w14:textId="77777777" w:rsidR="00D722D4" w:rsidRDefault="00D722D4" w:rsidP="00D722D4">
            <w:pPr>
              <w:jc w:val="center"/>
            </w:pPr>
            <w:r>
              <w:t>Fourth</w:t>
            </w:r>
          </w:p>
        </w:tc>
        <w:tc>
          <w:tcPr>
            <w:tcW w:w="3600" w:type="dxa"/>
          </w:tcPr>
          <w:p w14:paraId="7492F5D8" w14:textId="77777777" w:rsidR="00D722D4" w:rsidRDefault="00D722D4" w:rsidP="00D722D4">
            <w:pPr>
              <w:jc w:val="center"/>
              <w:cnfStyle w:val="000000000000" w:firstRow="0" w:lastRow="0" w:firstColumn="0" w:lastColumn="0" w:oddVBand="0" w:evenVBand="0" w:oddHBand="0" w:evenHBand="0" w:firstRowFirstColumn="0" w:firstRowLastColumn="0" w:lastRowFirstColumn="0" w:lastRowLastColumn="0"/>
            </w:pPr>
            <w:r>
              <w:t>33.3 (33)</w:t>
            </w:r>
          </w:p>
        </w:tc>
      </w:tr>
      <w:tr w:rsidR="00D722D4" w14:paraId="21731E71" w14:textId="77777777" w:rsidTr="0099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8FB6E19" w14:textId="77777777" w:rsidR="00D722D4" w:rsidRDefault="00D722D4" w:rsidP="00D722D4">
            <w:pPr>
              <w:jc w:val="center"/>
            </w:pPr>
            <w:r>
              <w:t>Fifth and above</w:t>
            </w:r>
          </w:p>
        </w:tc>
        <w:tc>
          <w:tcPr>
            <w:tcW w:w="3600" w:type="dxa"/>
          </w:tcPr>
          <w:p w14:paraId="30BB6DE1" w14:textId="77777777" w:rsidR="00D722D4" w:rsidRDefault="00D722D4" w:rsidP="00D722D4">
            <w:pPr>
              <w:jc w:val="center"/>
              <w:cnfStyle w:val="000000100000" w:firstRow="0" w:lastRow="0" w:firstColumn="0" w:lastColumn="0" w:oddVBand="0" w:evenVBand="0" w:oddHBand="1" w:evenHBand="0" w:firstRowFirstColumn="0" w:firstRowLastColumn="0" w:lastRowFirstColumn="0" w:lastRowLastColumn="0"/>
            </w:pPr>
            <w:r>
              <w:t>59.5 (25)</w:t>
            </w:r>
          </w:p>
        </w:tc>
      </w:tr>
      <w:tr w:rsidR="00D722D4" w14:paraId="6861EFA4" w14:textId="77777777" w:rsidTr="00993C40">
        <w:tc>
          <w:tcPr>
            <w:cnfStyle w:val="001000000000" w:firstRow="0" w:lastRow="0" w:firstColumn="1" w:lastColumn="0" w:oddVBand="0" w:evenVBand="0" w:oddHBand="0" w:evenHBand="0" w:firstRowFirstColumn="0" w:firstRowLastColumn="0" w:lastRowFirstColumn="0" w:lastRowLastColumn="0"/>
            <w:tcW w:w="3055" w:type="dxa"/>
          </w:tcPr>
          <w:p w14:paraId="58639663" w14:textId="77777777" w:rsidR="00D722D4" w:rsidRDefault="00D722D4" w:rsidP="00D722D4">
            <w:pPr>
              <w:jc w:val="center"/>
            </w:pPr>
            <w:r>
              <w:t>MA students</w:t>
            </w:r>
          </w:p>
        </w:tc>
        <w:tc>
          <w:tcPr>
            <w:tcW w:w="3600" w:type="dxa"/>
          </w:tcPr>
          <w:p w14:paraId="7F8D3CC9" w14:textId="77777777" w:rsidR="00D722D4" w:rsidRDefault="00D722D4" w:rsidP="00D722D4">
            <w:pPr>
              <w:jc w:val="center"/>
              <w:cnfStyle w:val="000000000000" w:firstRow="0" w:lastRow="0" w:firstColumn="0" w:lastColumn="0" w:oddVBand="0" w:evenVBand="0" w:oddHBand="0" w:evenHBand="0" w:firstRowFirstColumn="0" w:firstRowLastColumn="0" w:lastRowFirstColumn="0" w:lastRowLastColumn="0"/>
            </w:pPr>
            <w:r>
              <w:t>26.9 (18)</w:t>
            </w:r>
          </w:p>
        </w:tc>
      </w:tr>
      <w:tr w:rsidR="00D722D4" w14:paraId="0AF9AB76" w14:textId="77777777" w:rsidTr="0099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03353E7" w14:textId="77777777" w:rsidR="00D722D4" w:rsidRDefault="00D722D4" w:rsidP="00D722D4">
            <w:pPr>
              <w:jc w:val="center"/>
            </w:pPr>
            <w:r>
              <w:t>PhD students</w:t>
            </w:r>
          </w:p>
        </w:tc>
        <w:tc>
          <w:tcPr>
            <w:tcW w:w="3600" w:type="dxa"/>
          </w:tcPr>
          <w:p w14:paraId="1C2678EC" w14:textId="77777777" w:rsidR="00D722D4" w:rsidRDefault="00D722D4" w:rsidP="00D722D4">
            <w:pPr>
              <w:jc w:val="center"/>
              <w:cnfStyle w:val="000000100000" w:firstRow="0" w:lastRow="0" w:firstColumn="0" w:lastColumn="0" w:oddVBand="0" w:evenVBand="0" w:oddHBand="1" w:evenHBand="0" w:firstRowFirstColumn="0" w:firstRowLastColumn="0" w:lastRowFirstColumn="0" w:lastRowLastColumn="0"/>
            </w:pPr>
            <w:r>
              <w:t>15.6 (5)</w:t>
            </w:r>
          </w:p>
        </w:tc>
      </w:tr>
    </w:tbl>
    <w:p w14:paraId="18949715" w14:textId="5C9B92B4" w:rsidR="00D722D4" w:rsidRDefault="00CE0016" w:rsidP="00CE0016">
      <w:r>
        <w:t xml:space="preserve">found that food insecurity </w:t>
      </w:r>
    </w:p>
    <w:p w14:paraId="146DEDC8" w14:textId="1A6547E3" w:rsidR="00CE0016" w:rsidRDefault="00CE0016" w:rsidP="00CE0016">
      <w:r>
        <w:t xml:space="preserve">rates generally rise over total number of years in school. </w:t>
      </w:r>
    </w:p>
    <w:p w14:paraId="33D8054D" w14:textId="547EA04D" w:rsidR="00CE0016" w:rsidRDefault="00CE0016" w:rsidP="00CE0016">
      <w:r>
        <w:t xml:space="preserve">(N=531 total) </w:t>
      </w:r>
      <w:r w:rsidRPr="00AB2E82">
        <w:t>X</w:t>
      </w:r>
      <w:r w:rsidRPr="00AB2E82">
        <w:rPr>
          <w:vertAlign w:val="superscript"/>
        </w:rPr>
        <w:t>2</w:t>
      </w:r>
      <w:r w:rsidRPr="00AB2E82">
        <w:t xml:space="preserve"> (1, N=531) = 25.692, p&lt;0.001.</w:t>
      </w:r>
      <w:r>
        <w:t xml:space="preserve"> </w:t>
      </w:r>
    </w:p>
    <w:p w14:paraId="4CEF0638" w14:textId="16420DE9" w:rsidR="00CE0016" w:rsidRPr="0041506F" w:rsidRDefault="00CE0016" w:rsidP="00CE0016">
      <w:pPr>
        <w:pStyle w:val="ListParagraph"/>
        <w:numPr>
          <w:ilvl w:val="0"/>
          <w:numId w:val="9"/>
        </w:numPr>
        <w:rPr>
          <w:rFonts w:ascii="Times New Roman" w:hAnsi="Times New Roman" w:cs="Times New Roman"/>
        </w:rPr>
      </w:pPr>
      <w:r w:rsidRPr="00360726">
        <w:rPr>
          <w:i/>
        </w:rPr>
        <w:t xml:space="preserve">Ethnicity: </w:t>
      </w:r>
      <w:r>
        <w:t xml:space="preserve">White students are significantly more likely to be food secure – 27.7% are food insecure, vs 38.6% of non-white students </w:t>
      </w:r>
      <w:r w:rsidRPr="00AB2E82">
        <w:t>X</w:t>
      </w:r>
      <w:r w:rsidRPr="00360726">
        <w:rPr>
          <w:vertAlign w:val="superscript"/>
        </w:rPr>
        <w:t>2</w:t>
      </w:r>
      <w:r w:rsidRPr="00AB2E82">
        <w:t xml:space="preserve"> (1, N=531) = 6.861, p</w:t>
      </w:r>
      <w:r>
        <w:t>=</w:t>
      </w:r>
      <w:r w:rsidRPr="00AB2E82">
        <w:t xml:space="preserve">0.009. </w:t>
      </w:r>
      <w:r w:rsidRPr="00360726">
        <w:rPr>
          <w:rFonts w:ascii="Times New Roman" w:hAnsi="Times New Roman" w:cs="Times New Roman"/>
        </w:rPr>
        <w:t xml:space="preserve"> </w:t>
      </w:r>
      <w:r>
        <w:t xml:space="preserve">Latino students are significantly more likely to be food insecure – 45.6% vs 30.4% of non-Latino students </w:t>
      </w:r>
      <w:r w:rsidRPr="00AB2E82">
        <w:t>X</w:t>
      </w:r>
      <w:r w:rsidRPr="00360726">
        <w:rPr>
          <w:vertAlign w:val="superscript"/>
        </w:rPr>
        <w:t>2</w:t>
      </w:r>
      <w:r w:rsidRPr="00AB2E82">
        <w:t xml:space="preserve"> (1, N=531) = 5.</w:t>
      </w:r>
      <w:r>
        <w:t>425</w:t>
      </w:r>
      <w:r w:rsidRPr="00AB2E82">
        <w:t>, p</w:t>
      </w:r>
      <w:r>
        <w:t>=</w:t>
      </w:r>
      <w:r w:rsidRPr="00AB2E82">
        <w:t>0.0</w:t>
      </w:r>
      <w:r>
        <w:t>20</w:t>
      </w:r>
      <w:r w:rsidRPr="00AB2E82">
        <w:t>.</w:t>
      </w:r>
    </w:p>
    <w:p w14:paraId="7880D5D2" w14:textId="77777777" w:rsidR="00360726" w:rsidRDefault="00CE0016" w:rsidP="00CE0016">
      <w:pPr>
        <w:pStyle w:val="ListParagraph"/>
        <w:numPr>
          <w:ilvl w:val="0"/>
          <w:numId w:val="9"/>
        </w:numPr>
      </w:pPr>
      <w:r w:rsidRPr="00360726">
        <w:rPr>
          <w:i/>
        </w:rPr>
        <w:t xml:space="preserve">Students with disabilities </w:t>
      </w:r>
      <w:r>
        <w:t xml:space="preserve">are more likely to be food insecure, 42.1% of students self-declaring a disability are food insecure vs. 27.7% of those not declaring a disability </w:t>
      </w:r>
      <w:r w:rsidRPr="00AB2E82">
        <w:t>X</w:t>
      </w:r>
      <w:r w:rsidRPr="00360726">
        <w:rPr>
          <w:vertAlign w:val="superscript"/>
        </w:rPr>
        <w:t>2</w:t>
      </w:r>
      <w:r w:rsidRPr="00AB2E82">
        <w:t xml:space="preserve"> (1, N=531) = </w:t>
      </w:r>
      <w:r>
        <w:t>10.686</w:t>
      </w:r>
      <w:r w:rsidRPr="00AB2E82">
        <w:t>, p</w:t>
      </w:r>
      <w:r>
        <w:t>=</w:t>
      </w:r>
      <w:r w:rsidRPr="00AB2E82">
        <w:t>0.001.</w:t>
      </w:r>
    </w:p>
    <w:p w14:paraId="1D35DA42" w14:textId="77777777" w:rsidR="00360726" w:rsidRDefault="00CE0016" w:rsidP="00CE0016">
      <w:pPr>
        <w:pStyle w:val="ListParagraph"/>
        <w:numPr>
          <w:ilvl w:val="0"/>
          <w:numId w:val="9"/>
        </w:numPr>
      </w:pPr>
      <w:r w:rsidRPr="00360726">
        <w:rPr>
          <w:i/>
        </w:rPr>
        <w:t xml:space="preserve">Students who have experienced housing insecurity </w:t>
      </w:r>
      <w:r>
        <w:t xml:space="preserve">are more likely to be food insecure; 63.6% are food insecure compared with 19.1% of those who have not experienced housing insecurity. </w:t>
      </w:r>
      <w:r w:rsidRPr="00AB2E82">
        <w:t>X</w:t>
      </w:r>
      <w:r w:rsidRPr="00360726">
        <w:rPr>
          <w:vertAlign w:val="superscript"/>
        </w:rPr>
        <w:t>2</w:t>
      </w:r>
      <w:r w:rsidRPr="00AB2E82">
        <w:t xml:space="preserve"> (1, N=531) = </w:t>
      </w:r>
      <w:r>
        <w:t>99.647</w:t>
      </w:r>
      <w:r w:rsidRPr="00AB2E82">
        <w:t>, p</w:t>
      </w:r>
      <w:r>
        <w:t>=</w:t>
      </w:r>
      <w:r w:rsidRPr="00AB2E82">
        <w:t>0.00</w:t>
      </w:r>
      <w:r>
        <w:t>0</w:t>
      </w:r>
      <w:r w:rsidRPr="00AB2E82">
        <w:t>.</w:t>
      </w:r>
    </w:p>
    <w:p w14:paraId="38502126" w14:textId="1EF44CDF" w:rsidR="00CE0016" w:rsidRDefault="00CE0016" w:rsidP="00CE0016">
      <w:pPr>
        <w:pStyle w:val="ListParagraph"/>
        <w:numPr>
          <w:ilvl w:val="0"/>
          <w:numId w:val="9"/>
        </w:numPr>
      </w:pPr>
      <w:r w:rsidRPr="00360726">
        <w:rPr>
          <w:i/>
        </w:rPr>
        <w:lastRenderedPageBreak/>
        <w:t>Students who have been denied medical services</w:t>
      </w:r>
      <w:r>
        <w:t xml:space="preserve"> are more likely to be food insecure; 43.4% are food insecure, compared with 18.8% who have not been denied medical services </w:t>
      </w:r>
      <w:r w:rsidRPr="00AB2E82">
        <w:t>X</w:t>
      </w:r>
      <w:r w:rsidRPr="00360726">
        <w:rPr>
          <w:vertAlign w:val="superscript"/>
        </w:rPr>
        <w:t>2</w:t>
      </w:r>
      <w:r w:rsidRPr="00AB2E82">
        <w:t xml:space="preserve"> (</w:t>
      </w:r>
      <w:r>
        <w:t>2</w:t>
      </w:r>
      <w:r w:rsidRPr="00AB2E82">
        <w:t>, N=</w:t>
      </w:r>
      <w:r>
        <w:t>472</w:t>
      </w:r>
      <w:r w:rsidRPr="00AB2E82">
        <w:t xml:space="preserve">) = </w:t>
      </w:r>
      <w:r>
        <w:t>33.228</w:t>
      </w:r>
      <w:r w:rsidRPr="00AB2E82">
        <w:t>, p</w:t>
      </w:r>
      <w:r>
        <w:t>=</w:t>
      </w:r>
      <w:r w:rsidRPr="00AB2E82">
        <w:t>0.00</w:t>
      </w:r>
      <w:r>
        <w:t>0</w:t>
      </w:r>
      <w:r w:rsidRPr="00AB2E82">
        <w:t>.</w:t>
      </w:r>
    </w:p>
    <w:p w14:paraId="30E4A6F1" w14:textId="77777777" w:rsidR="00CE0016" w:rsidRDefault="00CE0016" w:rsidP="00CE0016">
      <w:r>
        <w:rPr>
          <w:i/>
        </w:rPr>
        <w:t>Students who feel lonely sometimes, often, or always</w:t>
      </w:r>
      <w:r>
        <w:t xml:space="preserve"> are more likely to be food insecure:</w:t>
      </w:r>
    </w:p>
    <w:tbl>
      <w:tblPr>
        <w:tblStyle w:val="GridTable4-Accent3"/>
        <w:tblW w:w="0" w:type="auto"/>
        <w:tblLook w:val="04A0" w:firstRow="1" w:lastRow="0" w:firstColumn="1" w:lastColumn="0" w:noHBand="0" w:noVBand="1"/>
      </w:tblPr>
      <w:tblGrid>
        <w:gridCol w:w="3325"/>
        <w:gridCol w:w="5220"/>
      </w:tblGrid>
      <w:tr w:rsidR="00CE0016" w14:paraId="61C4B291" w14:textId="77777777" w:rsidTr="00B73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EE530B6" w14:textId="77777777" w:rsidR="00CE0016" w:rsidRDefault="00CE0016" w:rsidP="00B737AF">
            <w:r>
              <w:t>How often do you feel lonely?</w:t>
            </w:r>
          </w:p>
        </w:tc>
        <w:tc>
          <w:tcPr>
            <w:tcW w:w="5220" w:type="dxa"/>
          </w:tcPr>
          <w:p w14:paraId="498A82B2" w14:textId="77777777" w:rsidR="00CE0016" w:rsidRDefault="00CE0016" w:rsidP="00B737AF">
            <w:pPr>
              <w:cnfStyle w:val="100000000000" w:firstRow="1" w:lastRow="0" w:firstColumn="0" w:lastColumn="0" w:oddVBand="0" w:evenVBand="0" w:oddHBand="0" w:evenHBand="0" w:firstRowFirstColumn="0" w:firstRowLastColumn="0" w:lastRowFirstColumn="0" w:lastRowLastColumn="0"/>
            </w:pPr>
            <w:r>
              <w:t>Percent of respondents who are food insecure</w:t>
            </w:r>
          </w:p>
        </w:tc>
      </w:tr>
      <w:tr w:rsidR="00CE0016" w14:paraId="464A8068" w14:textId="77777777" w:rsidTr="00B73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2033E97" w14:textId="77777777" w:rsidR="00CE0016" w:rsidRDefault="00CE0016" w:rsidP="00B737AF">
            <w:r>
              <w:t>Never</w:t>
            </w:r>
          </w:p>
        </w:tc>
        <w:tc>
          <w:tcPr>
            <w:tcW w:w="5220" w:type="dxa"/>
          </w:tcPr>
          <w:p w14:paraId="6184FF7E" w14:textId="77777777" w:rsidR="00CE0016" w:rsidRDefault="00CE0016" w:rsidP="00B737AF">
            <w:pPr>
              <w:cnfStyle w:val="000000100000" w:firstRow="0" w:lastRow="0" w:firstColumn="0" w:lastColumn="0" w:oddVBand="0" w:evenVBand="0" w:oddHBand="1" w:evenHBand="0" w:firstRowFirstColumn="0" w:firstRowLastColumn="0" w:lastRowFirstColumn="0" w:lastRowLastColumn="0"/>
            </w:pPr>
            <w:r>
              <w:t>18.0</w:t>
            </w:r>
          </w:p>
        </w:tc>
      </w:tr>
      <w:tr w:rsidR="00CE0016" w14:paraId="7664081C" w14:textId="77777777" w:rsidTr="00B737AF">
        <w:tc>
          <w:tcPr>
            <w:cnfStyle w:val="001000000000" w:firstRow="0" w:lastRow="0" w:firstColumn="1" w:lastColumn="0" w:oddVBand="0" w:evenVBand="0" w:oddHBand="0" w:evenHBand="0" w:firstRowFirstColumn="0" w:firstRowLastColumn="0" w:lastRowFirstColumn="0" w:lastRowLastColumn="0"/>
            <w:tcW w:w="3325" w:type="dxa"/>
          </w:tcPr>
          <w:p w14:paraId="332CE462" w14:textId="77777777" w:rsidR="00CE0016" w:rsidRDefault="00CE0016" w:rsidP="00B737AF">
            <w:r>
              <w:t>Rarely</w:t>
            </w:r>
          </w:p>
        </w:tc>
        <w:tc>
          <w:tcPr>
            <w:tcW w:w="5220" w:type="dxa"/>
          </w:tcPr>
          <w:p w14:paraId="5C424BD5" w14:textId="77777777" w:rsidR="00CE0016" w:rsidRDefault="00CE0016" w:rsidP="00B737AF">
            <w:pPr>
              <w:cnfStyle w:val="000000000000" w:firstRow="0" w:lastRow="0" w:firstColumn="0" w:lastColumn="0" w:oddVBand="0" w:evenVBand="0" w:oddHBand="0" w:evenHBand="0" w:firstRowFirstColumn="0" w:firstRowLastColumn="0" w:lastRowFirstColumn="0" w:lastRowLastColumn="0"/>
            </w:pPr>
            <w:r>
              <w:t>18.9</w:t>
            </w:r>
          </w:p>
        </w:tc>
      </w:tr>
      <w:tr w:rsidR="00CE0016" w14:paraId="0F1B1B0F" w14:textId="77777777" w:rsidTr="00B73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698234A" w14:textId="77777777" w:rsidR="00CE0016" w:rsidRDefault="00CE0016" w:rsidP="00B737AF">
            <w:r>
              <w:t>Sometimes</w:t>
            </w:r>
          </w:p>
        </w:tc>
        <w:tc>
          <w:tcPr>
            <w:tcW w:w="5220" w:type="dxa"/>
          </w:tcPr>
          <w:p w14:paraId="458EB74F" w14:textId="77777777" w:rsidR="00CE0016" w:rsidRDefault="00CE0016" w:rsidP="00B737AF">
            <w:pPr>
              <w:cnfStyle w:val="000000100000" w:firstRow="0" w:lastRow="0" w:firstColumn="0" w:lastColumn="0" w:oddVBand="0" w:evenVBand="0" w:oddHBand="1" w:evenHBand="0" w:firstRowFirstColumn="0" w:firstRowLastColumn="0" w:lastRowFirstColumn="0" w:lastRowLastColumn="0"/>
            </w:pPr>
            <w:r>
              <w:t>29.9</w:t>
            </w:r>
          </w:p>
        </w:tc>
      </w:tr>
      <w:tr w:rsidR="00CE0016" w14:paraId="60E1F8AF" w14:textId="77777777" w:rsidTr="00B737AF">
        <w:tc>
          <w:tcPr>
            <w:cnfStyle w:val="001000000000" w:firstRow="0" w:lastRow="0" w:firstColumn="1" w:lastColumn="0" w:oddVBand="0" w:evenVBand="0" w:oddHBand="0" w:evenHBand="0" w:firstRowFirstColumn="0" w:firstRowLastColumn="0" w:lastRowFirstColumn="0" w:lastRowLastColumn="0"/>
            <w:tcW w:w="3325" w:type="dxa"/>
          </w:tcPr>
          <w:p w14:paraId="1DE9BB42" w14:textId="77777777" w:rsidR="00CE0016" w:rsidRDefault="00CE0016" w:rsidP="00B737AF">
            <w:r>
              <w:t>Very often</w:t>
            </w:r>
          </w:p>
        </w:tc>
        <w:tc>
          <w:tcPr>
            <w:tcW w:w="5220" w:type="dxa"/>
          </w:tcPr>
          <w:p w14:paraId="2AC19E48" w14:textId="77777777" w:rsidR="00CE0016" w:rsidRDefault="00CE0016" w:rsidP="00B737AF">
            <w:pPr>
              <w:cnfStyle w:val="000000000000" w:firstRow="0" w:lastRow="0" w:firstColumn="0" w:lastColumn="0" w:oddVBand="0" w:evenVBand="0" w:oddHBand="0" w:evenHBand="0" w:firstRowFirstColumn="0" w:firstRowLastColumn="0" w:lastRowFirstColumn="0" w:lastRowLastColumn="0"/>
            </w:pPr>
            <w:r>
              <w:t>53.8</w:t>
            </w:r>
          </w:p>
        </w:tc>
      </w:tr>
      <w:tr w:rsidR="00CE0016" w14:paraId="09B746BF" w14:textId="77777777" w:rsidTr="00B73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80E4B2F" w14:textId="77777777" w:rsidR="00CE0016" w:rsidRDefault="00CE0016" w:rsidP="00B737AF">
            <w:r>
              <w:t>Always</w:t>
            </w:r>
          </w:p>
        </w:tc>
        <w:tc>
          <w:tcPr>
            <w:tcW w:w="5220" w:type="dxa"/>
          </w:tcPr>
          <w:p w14:paraId="37671C59" w14:textId="77777777" w:rsidR="00CE0016" w:rsidRDefault="00CE0016" w:rsidP="00B737AF">
            <w:pPr>
              <w:cnfStyle w:val="000000100000" w:firstRow="0" w:lastRow="0" w:firstColumn="0" w:lastColumn="0" w:oddVBand="0" w:evenVBand="0" w:oddHBand="1" w:evenHBand="0" w:firstRowFirstColumn="0" w:firstRowLastColumn="0" w:lastRowFirstColumn="0" w:lastRowLastColumn="0"/>
            </w:pPr>
            <w:r>
              <w:t>50.0</w:t>
            </w:r>
          </w:p>
        </w:tc>
      </w:tr>
    </w:tbl>
    <w:p w14:paraId="5721BAA4" w14:textId="77777777" w:rsidR="00CE0016" w:rsidRPr="0015428E" w:rsidRDefault="00CE0016" w:rsidP="00CE0016">
      <w:r w:rsidRPr="0040654B">
        <w:t>X</w:t>
      </w:r>
      <w:r w:rsidRPr="0040654B">
        <w:rPr>
          <w:vertAlign w:val="superscript"/>
        </w:rPr>
        <w:t>2</w:t>
      </w:r>
      <w:r w:rsidRPr="0040654B">
        <w:t xml:space="preserve"> (</w:t>
      </w:r>
      <w:r>
        <w:t>4</w:t>
      </w:r>
      <w:r w:rsidRPr="0040654B">
        <w:t>, N=</w:t>
      </w:r>
      <w:r>
        <w:t>469</w:t>
      </w:r>
      <w:r w:rsidRPr="0040654B">
        <w:t xml:space="preserve">) = </w:t>
      </w:r>
      <w:r>
        <w:t>32.345</w:t>
      </w:r>
      <w:r w:rsidRPr="0040654B">
        <w:t>, p</w:t>
      </w:r>
      <w:r>
        <w:t>=</w:t>
      </w:r>
      <w:r w:rsidRPr="0040654B">
        <w:t>0.00</w:t>
      </w:r>
      <w:r>
        <w:t>0</w:t>
      </w:r>
      <w:r w:rsidRPr="0040654B">
        <w:t>.</w:t>
      </w:r>
    </w:p>
    <w:p w14:paraId="44021AB1" w14:textId="55CE9775" w:rsidR="00CE0016" w:rsidRDefault="00CE0016" w:rsidP="00CE0016"/>
    <w:p w14:paraId="1FC6CE78" w14:textId="740167B4" w:rsidR="00CE0016" w:rsidRDefault="00CE0016" w:rsidP="00CE0016">
      <w:r w:rsidRPr="007108CC">
        <w:rPr>
          <w:i/>
        </w:rPr>
        <w:t>No significant difference</w:t>
      </w:r>
      <w:r w:rsidR="007108CC" w:rsidRPr="007108CC">
        <w:rPr>
          <w:i/>
        </w:rPr>
        <w:t>s</w:t>
      </w:r>
      <w:r w:rsidRPr="007108CC">
        <w:rPr>
          <w:i/>
        </w:rPr>
        <w:t xml:space="preserve"> in food security: </w:t>
      </w:r>
      <w:r>
        <w:t xml:space="preserve">Part time </w:t>
      </w:r>
      <w:r w:rsidR="007108CC">
        <w:t>vs.</w:t>
      </w:r>
      <w:r>
        <w:t xml:space="preserve"> full</w:t>
      </w:r>
      <w:r w:rsidR="007108CC">
        <w:t>-</w:t>
      </w:r>
      <w:r>
        <w:t>time students, past experiences in foster care, male vs</w:t>
      </w:r>
      <w:r w:rsidR="007108CC">
        <w:t>.</w:t>
      </w:r>
      <w:r>
        <w:t xml:space="preserve"> female identity, citizenship, car ownership, living with a child under 18 years of age.   </w:t>
      </w:r>
    </w:p>
    <w:p w14:paraId="681DA742" w14:textId="6028E2D7" w:rsidR="00CE0016" w:rsidRDefault="00CE0016">
      <w:pPr>
        <w:rPr>
          <w:b/>
        </w:rPr>
      </w:pPr>
    </w:p>
    <w:p w14:paraId="3C17F8DA" w14:textId="1F14DC92" w:rsidR="008A37DD" w:rsidRPr="008A37DD" w:rsidRDefault="008A37DD" w:rsidP="008A37DD">
      <w:pPr>
        <w:rPr>
          <w:bCs/>
          <w:i/>
          <w:iCs/>
        </w:rPr>
      </w:pPr>
      <w:r w:rsidRPr="00360726">
        <w:rPr>
          <w:bCs/>
          <w:i/>
          <w:iCs/>
          <w:u w:val="single"/>
        </w:rPr>
        <w:t>Food access challenges</w:t>
      </w:r>
      <w:r w:rsidRPr="00DB294A">
        <w:rPr>
          <w:bCs/>
          <w:i/>
          <w:iCs/>
        </w:rPr>
        <w:t xml:space="preserve">: </w:t>
      </w:r>
      <w:r>
        <w:t>Those who are food insecure find it much more difficult to get to the grocery store due to transportation, time, or other factors (overall, 65.23% of all respondents say that is it easy to get to a grocery store, in terms of transportation, time, or other factors, while 8.96% say it is difficult or somewhat difficult)</w:t>
      </w:r>
    </w:p>
    <w:tbl>
      <w:tblPr>
        <w:tblStyle w:val="GridTable4-Accent3"/>
        <w:tblW w:w="0" w:type="auto"/>
        <w:tblLook w:val="04A0" w:firstRow="1" w:lastRow="0" w:firstColumn="1" w:lastColumn="0" w:noHBand="0" w:noVBand="1"/>
      </w:tblPr>
      <w:tblGrid>
        <w:gridCol w:w="3505"/>
        <w:gridCol w:w="4860"/>
      </w:tblGrid>
      <w:tr w:rsidR="008A37DD" w14:paraId="592D4D0A" w14:textId="77777777" w:rsidTr="00FC4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EB2A5DF" w14:textId="77777777" w:rsidR="008A37DD" w:rsidRDefault="008A37DD" w:rsidP="00FC4495">
            <w:r>
              <w:t>Ease of getting to a grocery store</w:t>
            </w:r>
          </w:p>
        </w:tc>
        <w:tc>
          <w:tcPr>
            <w:tcW w:w="4860" w:type="dxa"/>
          </w:tcPr>
          <w:p w14:paraId="269264AF" w14:textId="77777777" w:rsidR="008A37DD" w:rsidRDefault="008A37DD" w:rsidP="00FC4495">
            <w:pPr>
              <w:cnfStyle w:val="100000000000" w:firstRow="1" w:lastRow="0" w:firstColumn="0" w:lastColumn="0" w:oddVBand="0" w:evenVBand="0" w:oddHBand="0" w:evenHBand="0" w:firstRowFirstColumn="0" w:firstRowLastColumn="0" w:lastRowFirstColumn="0" w:lastRowLastColumn="0"/>
            </w:pPr>
            <w:r>
              <w:t xml:space="preserve">Percent of respondents who are food insecure </w:t>
            </w:r>
          </w:p>
        </w:tc>
      </w:tr>
      <w:tr w:rsidR="008A37DD" w14:paraId="384AC94C" w14:textId="77777777" w:rsidTr="00FC4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9F14CB4" w14:textId="77777777" w:rsidR="008A37DD" w:rsidRDefault="008A37DD" w:rsidP="00FC4495">
            <w:r>
              <w:t>Difficult</w:t>
            </w:r>
          </w:p>
        </w:tc>
        <w:tc>
          <w:tcPr>
            <w:tcW w:w="4860" w:type="dxa"/>
          </w:tcPr>
          <w:p w14:paraId="79186795" w14:textId="77777777" w:rsidR="008A37DD" w:rsidRDefault="008A37DD" w:rsidP="00FC4495">
            <w:pPr>
              <w:cnfStyle w:val="000000100000" w:firstRow="0" w:lastRow="0" w:firstColumn="0" w:lastColumn="0" w:oddVBand="0" w:evenVBand="0" w:oddHBand="1" w:evenHBand="0" w:firstRowFirstColumn="0" w:firstRowLastColumn="0" w:lastRowFirstColumn="0" w:lastRowLastColumn="0"/>
            </w:pPr>
            <w:r>
              <w:t>69.2%</w:t>
            </w:r>
          </w:p>
        </w:tc>
      </w:tr>
      <w:tr w:rsidR="008A37DD" w14:paraId="3AD20B3B" w14:textId="77777777" w:rsidTr="00FC4495">
        <w:tc>
          <w:tcPr>
            <w:cnfStyle w:val="001000000000" w:firstRow="0" w:lastRow="0" w:firstColumn="1" w:lastColumn="0" w:oddVBand="0" w:evenVBand="0" w:oddHBand="0" w:evenHBand="0" w:firstRowFirstColumn="0" w:firstRowLastColumn="0" w:lastRowFirstColumn="0" w:lastRowLastColumn="0"/>
            <w:tcW w:w="3505" w:type="dxa"/>
          </w:tcPr>
          <w:p w14:paraId="2819405A" w14:textId="77777777" w:rsidR="008A37DD" w:rsidRDefault="008A37DD" w:rsidP="00FC4495">
            <w:r>
              <w:t>Somewhat difficult</w:t>
            </w:r>
          </w:p>
        </w:tc>
        <w:tc>
          <w:tcPr>
            <w:tcW w:w="4860" w:type="dxa"/>
          </w:tcPr>
          <w:p w14:paraId="6BC68B11" w14:textId="77777777" w:rsidR="008A37DD" w:rsidRDefault="008A37DD" w:rsidP="00FC4495">
            <w:pPr>
              <w:cnfStyle w:val="000000000000" w:firstRow="0" w:lastRow="0" w:firstColumn="0" w:lastColumn="0" w:oddVBand="0" w:evenVBand="0" w:oddHBand="0" w:evenHBand="0" w:firstRowFirstColumn="0" w:firstRowLastColumn="0" w:lastRowFirstColumn="0" w:lastRowLastColumn="0"/>
            </w:pPr>
            <w:r>
              <w:t>39.4</w:t>
            </w:r>
          </w:p>
        </w:tc>
      </w:tr>
      <w:tr w:rsidR="008A37DD" w14:paraId="69CC05FA" w14:textId="77777777" w:rsidTr="00FC4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7059A3F" w14:textId="77777777" w:rsidR="008A37DD" w:rsidRDefault="008A37DD" w:rsidP="00FC4495">
            <w:r>
              <w:t>Neutral</w:t>
            </w:r>
          </w:p>
        </w:tc>
        <w:tc>
          <w:tcPr>
            <w:tcW w:w="4860" w:type="dxa"/>
          </w:tcPr>
          <w:p w14:paraId="1CFB2520" w14:textId="77777777" w:rsidR="008A37DD" w:rsidRDefault="008A37DD" w:rsidP="00FC4495">
            <w:pPr>
              <w:cnfStyle w:val="000000100000" w:firstRow="0" w:lastRow="0" w:firstColumn="0" w:lastColumn="0" w:oddVBand="0" w:evenVBand="0" w:oddHBand="1" w:evenHBand="0" w:firstRowFirstColumn="0" w:firstRowLastColumn="0" w:lastRowFirstColumn="0" w:lastRowLastColumn="0"/>
            </w:pPr>
            <w:r>
              <w:t>37.0</w:t>
            </w:r>
          </w:p>
        </w:tc>
      </w:tr>
      <w:tr w:rsidR="008A37DD" w14:paraId="1B36B751" w14:textId="77777777" w:rsidTr="00FC4495">
        <w:tc>
          <w:tcPr>
            <w:cnfStyle w:val="001000000000" w:firstRow="0" w:lastRow="0" w:firstColumn="1" w:lastColumn="0" w:oddVBand="0" w:evenVBand="0" w:oddHBand="0" w:evenHBand="0" w:firstRowFirstColumn="0" w:firstRowLastColumn="0" w:lastRowFirstColumn="0" w:lastRowLastColumn="0"/>
            <w:tcW w:w="3505" w:type="dxa"/>
          </w:tcPr>
          <w:p w14:paraId="530E415A" w14:textId="77777777" w:rsidR="008A37DD" w:rsidRDefault="008A37DD" w:rsidP="00FC4495">
            <w:r>
              <w:t>Somewhat easy</w:t>
            </w:r>
          </w:p>
        </w:tc>
        <w:tc>
          <w:tcPr>
            <w:tcW w:w="4860" w:type="dxa"/>
          </w:tcPr>
          <w:p w14:paraId="64EE0B5C" w14:textId="77777777" w:rsidR="008A37DD" w:rsidRDefault="008A37DD" w:rsidP="00FC4495">
            <w:pPr>
              <w:cnfStyle w:val="000000000000" w:firstRow="0" w:lastRow="0" w:firstColumn="0" w:lastColumn="0" w:oddVBand="0" w:evenVBand="0" w:oddHBand="0" w:evenHBand="0" w:firstRowFirstColumn="0" w:firstRowLastColumn="0" w:lastRowFirstColumn="0" w:lastRowLastColumn="0"/>
            </w:pPr>
            <w:r>
              <w:t>40.7</w:t>
            </w:r>
          </w:p>
        </w:tc>
      </w:tr>
      <w:tr w:rsidR="008A37DD" w14:paraId="0CFFC7E4" w14:textId="77777777" w:rsidTr="00FC4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D2371AC" w14:textId="77777777" w:rsidR="008A37DD" w:rsidRDefault="008A37DD" w:rsidP="00FC4495">
            <w:r>
              <w:t>Easy</w:t>
            </w:r>
          </w:p>
        </w:tc>
        <w:tc>
          <w:tcPr>
            <w:tcW w:w="4860" w:type="dxa"/>
          </w:tcPr>
          <w:p w14:paraId="73CCA5C1" w14:textId="77777777" w:rsidR="008A37DD" w:rsidRDefault="008A37DD" w:rsidP="00FC4495">
            <w:pPr>
              <w:cnfStyle w:val="000000100000" w:firstRow="0" w:lastRow="0" w:firstColumn="0" w:lastColumn="0" w:oddVBand="0" w:evenVBand="0" w:oddHBand="1" w:evenHBand="0" w:firstRowFirstColumn="0" w:firstRowLastColumn="0" w:lastRowFirstColumn="0" w:lastRowLastColumn="0"/>
            </w:pPr>
            <w:r>
              <w:t>27.0</w:t>
            </w:r>
          </w:p>
        </w:tc>
      </w:tr>
    </w:tbl>
    <w:p w14:paraId="4BA42329" w14:textId="77777777" w:rsidR="008A37DD" w:rsidRDefault="008A37DD" w:rsidP="008A37DD">
      <w:r w:rsidRPr="00AB2E82">
        <w:t>X</w:t>
      </w:r>
      <w:r w:rsidRPr="00AB2E82">
        <w:rPr>
          <w:vertAlign w:val="superscript"/>
        </w:rPr>
        <w:t>2</w:t>
      </w:r>
      <w:r w:rsidRPr="00AB2E82">
        <w:t xml:space="preserve"> (</w:t>
      </w:r>
      <w:r>
        <w:t>4</w:t>
      </w:r>
      <w:r w:rsidRPr="00AB2E82">
        <w:t>, N=</w:t>
      </w:r>
      <w:r>
        <w:t>531)</w:t>
      </w:r>
      <w:r w:rsidRPr="00AB2E82">
        <w:t xml:space="preserve"> = </w:t>
      </w:r>
      <w:r>
        <w:t>16.741</w:t>
      </w:r>
      <w:r w:rsidRPr="00AB2E82">
        <w:t>, p</w:t>
      </w:r>
      <w:r>
        <w:t>=</w:t>
      </w:r>
      <w:r w:rsidRPr="00AB2E82">
        <w:t>0.00</w:t>
      </w:r>
      <w:r>
        <w:t>2</w:t>
      </w:r>
      <w:r w:rsidRPr="00AB2E82">
        <w:t>.</w:t>
      </w:r>
    </w:p>
    <w:p w14:paraId="5A2B21B8" w14:textId="0252F440" w:rsidR="008A37DD" w:rsidRDefault="008A37DD" w:rsidP="008A37DD"/>
    <w:p w14:paraId="43B9644A" w14:textId="77777777" w:rsidR="008A37DD" w:rsidRDefault="008A37DD" w:rsidP="008A37DD">
      <w:r>
        <w:t xml:space="preserve">Respondents found that eating a more nutritional diet might be helped by more money (55.38%), more time (53.05%), cheaper fruits and vegetables (50.0%), more knowledge about how to prepare meals (34.23%), more healthy food outlets on campus (33.33%), and others. </w:t>
      </w:r>
    </w:p>
    <w:p w14:paraId="3A49398F" w14:textId="77777777" w:rsidR="008A37DD" w:rsidRDefault="008A37DD" w:rsidP="008A37DD"/>
    <w:p w14:paraId="2631F226" w14:textId="77777777" w:rsidR="008A37DD" w:rsidRPr="008A37DD" w:rsidRDefault="008A37DD" w:rsidP="008A37DD">
      <w:pPr>
        <w:rPr>
          <w:i/>
          <w:iCs/>
        </w:rPr>
      </w:pPr>
      <w:r w:rsidRPr="008A37DD">
        <w:rPr>
          <w:i/>
          <w:iCs/>
        </w:rPr>
        <w:t xml:space="preserve">Accessing food support: </w:t>
      </w:r>
    </w:p>
    <w:p w14:paraId="6523756B" w14:textId="77777777" w:rsidR="008A37DD" w:rsidRDefault="008A37DD" w:rsidP="008A37DD">
      <w:pPr>
        <w:pStyle w:val="ListParagraph"/>
        <w:numPr>
          <w:ilvl w:val="0"/>
          <w:numId w:val="5"/>
        </w:numPr>
      </w:pPr>
      <w:r>
        <w:t xml:space="preserve">18.71% of respondents did not access support when needed because they believed someone else needed it more, 17.46% were not sure how to access needed resources, and 12.68% reported fear or shame preventing them from accessing help. </w:t>
      </w:r>
    </w:p>
    <w:p w14:paraId="1C5C6D01" w14:textId="77777777" w:rsidR="008A37DD" w:rsidRDefault="008A37DD" w:rsidP="008A37DD">
      <w:pPr>
        <w:pStyle w:val="ListParagraph"/>
        <w:numPr>
          <w:ilvl w:val="0"/>
          <w:numId w:val="5"/>
        </w:numPr>
      </w:pPr>
      <w:r>
        <w:t>69.79% of respondents were unfamiliar with the Swipe Out Hunger Program, while 20.21% knew about the program but did not participate.</w:t>
      </w:r>
    </w:p>
    <w:p w14:paraId="20CE7EC1" w14:textId="77777777" w:rsidR="008A37DD" w:rsidRDefault="008A37DD" w:rsidP="008A37DD">
      <w:pPr>
        <w:pStyle w:val="ListParagraph"/>
        <w:numPr>
          <w:ilvl w:val="0"/>
          <w:numId w:val="5"/>
        </w:numPr>
      </w:pPr>
      <w:r>
        <w:t xml:space="preserve">49.17% of respondents are aware of the Jamil Niner Student Pantry, while 34.79% were not aware but said they would be interested in using it. Most found out about the pantry from other students or physical advertisements (34.32% each), from faculty or staff (32.63%), walking by it (26.69%), or via email (23.73%). For those aware of the pantry but who have not used it, some (28.57%) report this is because they don’t want people to know or their schedule (26.19%). 24.56% of the same group would like to see it open more hours. </w:t>
      </w:r>
    </w:p>
    <w:p w14:paraId="2CE17F37" w14:textId="77777777" w:rsidR="008A37DD" w:rsidRDefault="008A37DD" w:rsidP="008A37DD">
      <w:pPr>
        <w:rPr>
          <w:b/>
          <w:u w:val="single"/>
        </w:rPr>
      </w:pPr>
    </w:p>
    <w:p w14:paraId="006BEDBA" w14:textId="77777777" w:rsidR="0041506F" w:rsidRDefault="0041506F">
      <w:pPr>
        <w:rPr>
          <w:b/>
          <w:u w:val="single"/>
        </w:rPr>
      </w:pPr>
      <w:r>
        <w:rPr>
          <w:b/>
          <w:u w:val="single"/>
        </w:rPr>
        <w:br w:type="page"/>
      </w:r>
    </w:p>
    <w:p w14:paraId="13614AF6" w14:textId="7F1C6C19" w:rsidR="00360726" w:rsidRPr="006B5451" w:rsidRDefault="00360726" w:rsidP="00360726">
      <w:pPr>
        <w:rPr>
          <w:b/>
          <w:u w:val="single"/>
        </w:rPr>
      </w:pPr>
      <w:r w:rsidRPr="006B5451">
        <w:rPr>
          <w:b/>
          <w:u w:val="single"/>
        </w:rPr>
        <w:lastRenderedPageBreak/>
        <w:t>Housing issues:</w:t>
      </w:r>
    </w:p>
    <w:p w14:paraId="1CA42B54" w14:textId="14C10E45" w:rsidR="00360726" w:rsidRDefault="00360726" w:rsidP="00360726">
      <w:r>
        <w:t>While 52.79% of respondents said they have always had a secure place to stay in the last 12 months, other respondents replied they had experienced the following issues:</w:t>
      </w:r>
    </w:p>
    <w:tbl>
      <w:tblPr>
        <w:tblStyle w:val="TableGrid"/>
        <w:tblW w:w="10255" w:type="dxa"/>
        <w:tblLook w:val="04A0" w:firstRow="1" w:lastRow="0" w:firstColumn="1" w:lastColumn="0" w:noHBand="0" w:noVBand="1"/>
      </w:tblPr>
      <w:tblGrid>
        <w:gridCol w:w="805"/>
        <w:gridCol w:w="9450"/>
      </w:tblGrid>
      <w:tr w:rsidR="00FB1BF5" w:rsidRPr="005460B0" w14:paraId="072FA41D" w14:textId="77777777" w:rsidTr="00FB1BF5">
        <w:tc>
          <w:tcPr>
            <w:tcW w:w="10255" w:type="dxa"/>
            <w:gridSpan w:val="2"/>
            <w:noWrap/>
          </w:tcPr>
          <w:p w14:paraId="47D84411" w14:textId="77777777" w:rsidR="00FB1BF5" w:rsidRDefault="00FB1BF5" w:rsidP="00FC4495">
            <w:r>
              <w:rPr>
                <w:rStyle w:val="Strong"/>
                <w:rFonts w:ascii="Helvetica" w:hAnsi="Helvetica"/>
                <w:color w:val="333333"/>
                <w:sz w:val="18"/>
                <w:szCs w:val="18"/>
                <w:shd w:val="clear" w:color="auto" w:fill="FFFFFF"/>
              </w:rPr>
              <w:t>In the past 12 months, </w:t>
            </w:r>
            <w:r>
              <w:rPr>
                <w:rFonts w:ascii="Helvetica" w:hAnsi="Helvetica"/>
                <w:b/>
                <w:bCs/>
                <w:color w:val="333333"/>
                <w:sz w:val="18"/>
                <w:szCs w:val="18"/>
                <w:shd w:val="clear" w:color="auto" w:fill="FFFFFF"/>
              </w:rPr>
              <w:t>did you experience any of the following housing issues? </w:t>
            </w:r>
            <w:r>
              <w:rPr>
                <w:rStyle w:val="Emphasis"/>
                <w:rFonts w:ascii="Helvetica" w:hAnsi="Helvetica"/>
                <w:b/>
                <w:bCs/>
                <w:color w:val="333333"/>
                <w:sz w:val="18"/>
                <w:szCs w:val="18"/>
                <w:shd w:val="clear" w:color="auto" w:fill="FFFFFF"/>
              </w:rPr>
              <w:t>(Please choose all that apply)</w:t>
            </w:r>
            <w:r>
              <w:rPr>
                <w:rFonts w:ascii="Helvetica" w:hAnsi="Helvetica"/>
                <w:b/>
                <w:bCs/>
                <w:color w:val="333333"/>
                <w:sz w:val="18"/>
                <w:szCs w:val="18"/>
                <w:shd w:val="clear" w:color="auto" w:fill="FFFFFF"/>
              </w:rPr>
              <w:t>:</w:t>
            </w:r>
          </w:p>
          <w:p w14:paraId="4EB815F8" w14:textId="77777777" w:rsidR="00FB1BF5" w:rsidRPr="005460B0" w:rsidRDefault="00FB1BF5" w:rsidP="00FC4495">
            <w:pPr>
              <w:spacing w:line="270" w:lineRule="atLeast"/>
              <w:rPr>
                <w:rFonts w:ascii="Helvetica" w:eastAsia="Times New Roman" w:hAnsi="Helvetica" w:cs="Times New Roman"/>
                <w:color w:val="4D4F51"/>
                <w:sz w:val="17"/>
                <w:szCs w:val="17"/>
              </w:rPr>
            </w:pPr>
            <w:r>
              <w:rPr>
                <w:rFonts w:ascii="Helvetica" w:eastAsia="Times New Roman" w:hAnsi="Helvetica" w:cs="Times New Roman"/>
                <w:color w:val="4D4F51"/>
                <w:sz w:val="17"/>
                <w:szCs w:val="17"/>
              </w:rPr>
              <w:t>(</w:t>
            </w:r>
            <w:r w:rsidRPr="005460B0">
              <w:rPr>
                <w:rFonts w:ascii="Helvetica" w:eastAsia="Times New Roman" w:hAnsi="Helvetica" w:cs="Times New Roman"/>
                <w:color w:val="4D4F51"/>
                <w:sz w:val="17"/>
                <w:szCs w:val="17"/>
              </w:rPr>
              <w:t>585 Respondents</w:t>
            </w:r>
            <w:r>
              <w:rPr>
                <w:rFonts w:ascii="Helvetica" w:eastAsia="Times New Roman" w:hAnsi="Helvetica" w:cs="Times New Roman"/>
                <w:color w:val="4D4F51"/>
                <w:sz w:val="17"/>
                <w:szCs w:val="17"/>
              </w:rPr>
              <w:t xml:space="preserve">, </w:t>
            </w:r>
            <w:r w:rsidRPr="005460B0">
              <w:rPr>
                <w:rFonts w:ascii="Helvetica" w:eastAsia="Times New Roman" w:hAnsi="Helvetica" w:cs="Times New Roman"/>
                <w:color w:val="4D4F51"/>
                <w:sz w:val="17"/>
                <w:szCs w:val="17"/>
              </w:rPr>
              <w:t>788</w:t>
            </w:r>
            <w:r>
              <w:rPr>
                <w:rFonts w:ascii="Helvetica" w:eastAsia="Times New Roman" w:hAnsi="Helvetica" w:cs="Times New Roman"/>
                <w:color w:val="4D4F51"/>
                <w:sz w:val="17"/>
                <w:szCs w:val="17"/>
              </w:rPr>
              <w:t xml:space="preserve"> </w:t>
            </w:r>
            <w:r w:rsidRPr="005460B0">
              <w:rPr>
                <w:rFonts w:ascii="Helvetica" w:eastAsia="Times New Roman" w:hAnsi="Helvetica" w:cs="Times New Roman"/>
                <w:color w:val="4D4F51"/>
                <w:sz w:val="17"/>
                <w:szCs w:val="17"/>
              </w:rPr>
              <w:t>Responses</w:t>
            </w:r>
            <w:r>
              <w:rPr>
                <w:rFonts w:ascii="Helvetica" w:eastAsia="Times New Roman" w:hAnsi="Helvetica" w:cs="Times New Roman"/>
                <w:color w:val="4D4F51"/>
                <w:sz w:val="17"/>
                <w:szCs w:val="17"/>
              </w:rPr>
              <w:t>)</w:t>
            </w:r>
          </w:p>
        </w:tc>
      </w:tr>
      <w:tr w:rsidR="00FB1BF5" w:rsidRPr="005460B0" w14:paraId="5391D49B" w14:textId="77777777" w:rsidTr="00FB1BF5">
        <w:tc>
          <w:tcPr>
            <w:tcW w:w="805" w:type="dxa"/>
            <w:noWrap/>
            <w:hideMark/>
          </w:tcPr>
          <w:p w14:paraId="3231506F"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21.03%</w:t>
            </w:r>
          </w:p>
        </w:tc>
        <w:tc>
          <w:tcPr>
            <w:tcW w:w="9450" w:type="dxa"/>
            <w:hideMark/>
          </w:tcPr>
          <w:p w14:paraId="28E77C21"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Borrowed money from friends or family to help pay bills</w:t>
            </w:r>
          </w:p>
        </w:tc>
      </w:tr>
      <w:tr w:rsidR="00FB1BF5" w:rsidRPr="005460B0" w14:paraId="67AB3EBF" w14:textId="77777777" w:rsidTr="00FB1BF5">
        <w:tc>
          <w:tcPr>
            <w:tcW w:w="805" w:type="dxa"/>
            <w:noWrap/>
          </w:tcPr>
          <w:p w14:paraId="78DF421A"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10.26%</w:t>
            </w:r>
          </w:p>
        </w:tc>
        <w:tc>
          <w:tcPr>
            <w:tcW w:w="9450" w:type="dxa"/>
          </w:tcPr>
          <w:p w14:paraId="27F7C773"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Not able to pay or underpaid your rent or mortgage?</w:t>
            </w:r>
          </w:p>
        </w:tc>
      </w:tr>
      <w:tr w:rsidR="00FB1BF5" w:rsidRPr="005460B0" w14:paraId="777DF308" w14:textId="77777777" w:rsidTr="00FB1BF5">
        <w:tc>
          <w:tcPr>
            <w:tcW w:w="805" w:type="dxa"/>
            <w:noWrap/>
            <w:hideMark/>
          </w:tcPr>
          <w:p w14:paraId="2F931987"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7.35%</w:t>
            </w:r>
          </w:p>
        </w:tc>
        <w:tc>
          <w:tcPr>
            <w:tcW w:w="9450" w:type="dxa"/>
            <w:hideMark/>
          </w:tcPr>
          <w:p w14:paraId="39471859"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Experienced a rent or mortgage increase that made it difficult to pay rent or mortgage</w:t>
            </w:r>
          </w:p>
        </w:tc>
      </w:tr>
      <w:tr w:rsidR="00FB1BF5" w:rsidRPr="005460B0" w14:paraId="10002250" w14:textId="77777777" w:rsidTr="00FB1BF5">
        <w:tc>
          <w:tcPr>
            <w:tcW w:w="805" w:type="dxa"/>
            <w:noWrap/>
            <w:hideMark/>
          </w:tcPr>
          <w:p w14:paraId="4168F504"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6.32%</w:t>
            </w:r>
          </w:p>
        </w:tc>
        <w:tc>
          <w:tcPr>
            <w:tcW w:w="9450" w:type="dxa"/>
            <w:hideMark/>
          </w:tcPr>
          <w:p w14:paraId="728C6B5F"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Did not pay the full amount of a gas, oil, or electricity bill</w:t>
            </w:r>
          </w:p>
        </w:tc>
      </w:tr>
      <w:tr w:rsidR="00FB1BF5" w:rsidRPr="005460B0" w14:paraId="2A8E5E06" w14:textId="77777777" w:rsidTr="00FB1BF5">
        <w:tc>
          <w:tcPr>
            <w:tcW w:w="805" w:type="dxa"/>
            <w:noWrap/>
            <w:hideMark/>
          </w:tcPr>
          <w:p w14:paraId="008DA885"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5.13%</w:t>
            </w:r>
          </w:p>
        </w:tc>
        <w:tc>
          <w:tcPr>
            <w:tcW w:w="9450" w:type="dxa"/>
            <w:hideMark/>
          </w:tcPr>
          <w:p w14:paraId="5586AC57"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Moved in with other people (e.g. couch surf), even for a little while, because of financial problems</w:t>
            </w:r>
          </w:p>
        </w:tc>
      </w:tr>
      <w:tr w:rsidR="00FB1BF5" w:rsidRPr="005460B0" w14:paraId="1214B422" w14:textId="77777777" w:rsidTr="00FB1BF5">
        <w:tc>
          <w:tcPr>
            <w:tcW w:w="805" w:type="dxa"/>
            <w:noWrap/>
            <w:hideMark/>
          </w:tcPr>
          <w:p w14:paraId="78E30BC7"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3.08%</w:t>
            </w:r>
          </w:p>
        </w:tc>
        <w:tc>
          <w:tcPr>
            <w:tcW w:w="9450" w:type="dxa"/>
            <w:hideMark/>
          </w:tcPr>
          <w:p w14:paraId="3947C9C7"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Lived with others beyond the expected capacity of the house or apartment</w:t>
            </w:r>
          </w:p>
        </w:tc>
      </w:tr>
      <w:tr w:rsidR="00FB1BF5" w:rsidRPr="005460B0" w14:paraId="19AEDA9E" w14:textId="77777777" w:rsidTr="00FB1BF5">
        <w:tc>
          <w:tcPr>
            <w:tcW w:w="805" w:type="dxa"/>
            <w:noWrap/>
            <w:hideMark/>
          </w:tcPr>
          <w:p w14:paraId="24DF4038"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2.91%</w:t>
            </w:r>
          </w:p>
        </w:tc>
        <w:tc>
          <w:tcPr>
            <w:tcW w:w="9450" w:type="dxa"/>
            <w:hideMark/>
          </w:tcPr>
          <w:p w14:paraId="23AF5DD1"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Have an account default or go into collections due to housing related expenses</w:t>
            </w:r>
          </w:p>
        </w:tc>
      </w:tr>
      <w:tr w:rsidR="00FB1BF5" w:rsidRPr="005460B0" w14:paraId="6357F938" w14:textId="77777777" w:rsidTr="00FB1BF5">
        <w:tc>
          <w:tcPr>
            <w:tcW w:w="805" w:type="dxa"/>
            <w:noWrap/>
            <w:hideMark/>
          </w:tcPr>
          <w:p w14:paraId="4DDF62EF"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2.39%</w:t>
            </w:r>
          </w:p>
        </w:tc>
        <w:tc>
          <w:tcPr>
            <w:tcW w:w="9450" w:type="dxa"/>
            <w:hideMark/>
          </w:tcPr>
          <w:p w14:paraId="0DE34843"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Did not know where you were going to sleep, even for one night</w:t>
            </w:r>
          </w:p>
        </w:tc>
      </w:tr>
      <w:tr w:rsidR="00FB1BF5" w:rsidRPr="005460B0" w14:paraId="41BB7167" w14:textId="77777777" w:rsidTr="00FB1BF5">
        <w:tc>
          <w:tcPr>
            <w:tcW w:w="805" w:type="dxa"/>
            <w:noWrap/>
            <w:hideMark/>
          </w:tcPr>
          <w:p w14:paraId="07E7E9E6"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1.54%</w:t>
            </w:r>
          </w:p>
        </w:tc>
        <w:tc>
          <w:tcPr>
            <w:tcW w:w="9450" w:type="dxa"/>
            <w:hideMark/>
          </w:tcPr>
          <w:p w14:paraId="6704E469"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Other</w:t>
            </w:r>
          </w:p>
        </w:tc>
      </w:tr>
      <w:tr w:rsidR="00FB1BF5" w:rsidRPr="005460B0" w14:paraId="4478BAE8" w14:textId="77777777" w:rsidTr="00FB1BF5">
        <w:tc>
          <w:tcPr>
            <w:tcW w:w="805" w:type="dxa"/>
            <w:noWrap/>
            <w:hideMark/>
          </w:tcPr>
          <w:p w14:paraId="1FAD830A"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1.37%</w:t>
            </w:r>
          </w:p>
        </w:tc>
        <w:tc>
          <w:tcPr>
            <w:tcW w:w="9450" w:type="dxa"/>
            <w:hideMark/>
          </w:tcPr>
          <w:p w14:paraId="5E88E2FC"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Lived in your car, camper, outdoor location, or abandoned building because you had no other place to stay</w:t>
            </w:r>
          </w:p>
        </w:tc>
      </w:tr>
      <w:tr w:rsidR="00FB1BF5" w:rsidRPr="005460B0" w14:paraId="7065DC03" w14:textId="77777777" w:rsidTr="00FB1BF5">
        <w:tc>
          <w:tcPr>
            <w:tcW w:w="805" w:type="dxa"/>
            <w:noWrap/>
            <w:hideMark/>
          </w:tcPr>
          <w:p w14:paraId="299207DC"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1.20%</w:t>
            </w:r>
          </w:p>
        </w:tc>
        <w:tc>
          <w:tcPr>
            <w:tcW w:w="9450" w:type="dxa"/>
            <w:hideMark/>
          </w:tcPr>
          <w:p w14:paraId="62444708"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Stayed temporarily at a hotel or motel without a permanent to return to (not on vacation or business travel)</w:t>
            </w:r>
          </w:p>
        </w:tc>
      </w:tr>
      <w:tr w:rsidR="00FB1BF5" w:rsidRPr="005460B0" w14:paraId="1B2565C3" w14:textId="77777777" w:rsidTr="00FB1BF5">
        <w:tc>
          <w:tcPr>
            <w:tcW w:w="805" w:type="dxa"/>
            <w:noWrap/>
            <w:hideMark/>
          </w:tcPr>
          <w:p w14:paraId="0EB664B1"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0.85%</w:t>
            </w:r>
          </w:p>
        </w:tc>
        <w:tc>
          <w:tcPr>
            <w:tcW w:w="9450" w:type="dxa"/>
            <w:hideMark/>
          </w:tcPr>
          <w:p w14:paraId="064188AF"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Was evicted or thrown out of housing (formally or informally)</w:t>
            </w:r>
          </w:p>
        </w:tc>
      </w:tr>
      <w:tr w:rsidR="00FB1BF5" w:rsidRPr="005460B0" w14:paraId="416480D0" w14:textId="77777777" w:rsidTr="00FB1BF5">
        <w:tc>
          <w:tcPr>
            <w:tcW w:w="805" w:type="dxa"/>
            <w:noWrap/>
            <w:hideMark/>
          </w:tcPr>
          <w:p w14:paraId="6CFFEFF7"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0.17%</w:t>
            </w:r>
          </w:p>
        </w:tc>
        <w:tc>
          <w:tcPr>
            <w:tcW w:w="9450" w:type="dxa"/>
            <w:hideMark/>
          </w:tcPr>
          <w:p w14:paraId="31A5D18B"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Receive a summons to appear in housing court?</w:t>
            </w:r>
          </w:p>
        </w:tc>
      </w:tr>
      <w:tr w:rsidR="00FB1BF5" w:rsidRPr="005460B0" w14:paraId="50972B92" w14:textId="77777777" w:rsidTr="00FB1BF5">
        <w:tc>
          <w:tcPr>
            <w:tcW w:w="805" w:type="dxa"/>
            <w:noWrap/>
            <w:hideMark/>
          </w:tcPr>
          <w:p w14:paraId="55CE325C"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0.00%</w:t>
            </w:r>
          </w:p>
        </w:tc>
        <w:tc>
          <w:tcPr>
            <w:tcW w:w="9450" w:type="dxa"/>
            <w:hideMark/>
          </w:tcPr>
          <w:p w14:paraId="626ED2BB"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Stayed in a homeless shelter</w:t>
            </w:r>
          </w:p>
        </w:tc>
      </w:tr>
      <w:tr w:rsidR="00FB1BF5" w:rsidRPr="005460B0" w14:paraId="3C28B9C1" w14:textId="77777777" w:rsidTr="00FB1BF5">
        <w:tc>
          <w:tcPr>
            <w:tcW w:w="805" w:type="dxa"/>
            <w:noWrap/>
            <w:hideMark/>
          </w:tcPr>
          <w:p w14:paraId="3EE5329C" w14:textId="77777777" w:rsidR="00FB1BF5" w:rsidRPr="005460B0" w:rsidRDefault="00FB1BF5" w:rsidP="00FC4495">
            <w:pPr>
              <w:spacing w:line="270" w:lineRule="atLeast"/>
              <w:jc w:val="right"/>
              <w:rPr>
                <w:rFonts w:ascii="Helvetica" w:eastAsia="Times New Roman" w:hAnsi="Helvetica" w:cs="Times New Roman"/>
                <w:b/>
                <w:bCs/>
                <w:color w:val="4D4F51"/>
                <w:sz w:val="17"/>
                <w:szCs w:val="17"/>
              </w:rPr>
            </w:pPr>
            <w:r w:rsidRPr="005460B0">
              <w:rPr>
                <w:rFonts w:ascii="Helvetica" w:eastAsia="Times New Roman" w:hAnsi="Helvetica" w:cs="Times New Roman"/>
                <w:b/>
                <w:bCs/>
                <w:color w:val="4D4F51"/>
                <w:sz w:val="17"/>
                <w:szCs w:val="17"/>
              </w:rPr>
              <w:t>71.11%</w:t>
            </w:r>
          </w:p>
        </w:tc>
        <w:tc>
          <w:tcPr>
            <w:tcW w:w="9450" w:type="dxa"/>
            <w:hideMark/>
          </w:tcPr>
          <w:p w14:paraId="79D359CB" w14:textId="77777777" w:rsidR="00FB1BF5" w:rsidRPr="005460B0" w:rsidRDefault="00FB1BF5" w:rsidP="00FC4495">
            <w:pPr>
              <w:spacing w:line="270" w:lineRule="atLeast"/>
              <w:rPr>
                <w:rFonts w:ascii="Helvetica" w:eastAsia="Times New Roman" w:hAnsi="Helvetica" w:cs="Times New Roman"/>
                <w:color w:val="4D4F51"/>
                <w:sz w:val="17"/>
                <w:szCs w:val="17"/>
              </w:rPr>
            </w:pPr>
            <w:r w:rsidRPr="005460B0">
              <w:rPr>
                <w:rFonts w:ascii="Helvetica" w:eastAsia="Times New Roman" w:hAnsi="Helvetica" w:cs="Times New Roman"/>
                <w:color w:val="4D4F51"/>
                <w:sz w:val="17"/>
                <w:szCs w:val="17"/>
              </w:rPr>
              <w:t>None of the above - I have always had a secure place to stay</w:t>
            </w:r>
          </w:p>
        </w:tc>
      </w:tr>
    </w:tbl>
    <w:p w14:paraId="4D4D19CC" w14:textId="77777777" w:rsidR="00FB1BF5" w:rsidRDefault="00FB1BF5" w:rsidP="00360726"/>
    <w:p w14:paraId="611EECE3" w14:textId="11A2270E" w:rsidR="00360726" w:rsidRDefault="00360726" w:rsidP="00360726">
      <w:pPr>
        <w:pStyle w:val="ListParagraph"/>
        <w:numPr>
          <w:ilvl w:val="0"/>
          <w:numId w:val="3"/>
        </w:numPr>
      </w:pPr>
      <w:r>
        <w:t xml:space="preserve">71.93% of students experienced these during the school year, and 32.16% experienced them over the summer and 19.88% did over winter break (n=171). </w:t>
      </w:r>
    </w:p>
    <w:p w14:paraId="7A72A338" w14:textId="77777777" w:rsidR="00360726" w:rsidRDefault="00360726" w:rsidP="00360726">
      <w:pPr>
        <w:pStyle w:val="ListParagraph"/>
        <w:numPr>
          <w:ilvl w:val="0"/>
          <w:numId w:val="3"/>
        </w:numPr>
      </w:pPr>
      <w:r>
        <w:t xml:space="preserve">The primary reason students reported leading to housing issues were lack money (88.47%), lack of support by family (22.35%), not knowing about resources (22.35%), or unexpected gaps in housing access (16.47%) (n=170). </w:t>
      </w:r>
    </w:p>
    <w:p w14:paraId="1AEC849F" w14:textId="77777777" w:rsidR="00360726" w:rsidRDefault="00360726" w:rsidP="00360726">
      <w:pPr>
        <w:pStyle w:val="ListParagraph"/>
        <w:numPr>
          <w:ilvl w:val="0"/>
          <w:numId w:val="3"/>
        </w:numPr>
      </w:pPr>
      <w:r>
        <w:t xml:space="preserve">71.9% of students feel very or extremely safe in their housing, while 24.43% feel somewhat safe, and 3.67% feel a little bit safe or not at all safe. </w:t>
      </w:r>
    </w:p>
    <w:p w14:paraId="7EA8832D" w14:textId="77777777" w:rsidR="00360726" w:rsidRDefault="00360726" w:rsidP="00360726"/>
    <w:p w14:paraId="21BD5720" w14:textId="77777777" w:rsidR="00360726" w:rsidRDefault="00360726" w:rsidP="00360726">
      <w:r w:rsidRPr="00DB294A">
        <w:rPr>
          <w:b/>
          <w:u w:val="single"/>
        </w:rPr>
        <w:t>Transportation:</w:t>
      </w:r>
      <w:r w:rsidRPr="00CB44C5">
        <w:rPr>
          <w:b/>
        </w:rPr>
        <w:t xml:space="preserve"> </w:t>
      </w:r>
      <w:r>
        <w:t>79.90% of respondents have a car; of those that do not, 43.86% have regular access to someone else’s car though around half have access only some of the time they need it or rarely have access, and most use public transportation or walk as an alternative to owning a car.</w:t>
      </w:r>
    </w:p>
    <w:p w14:paraId="77C4312D" w14:textId="77777777" w:rsidR="00360726" w:rsidRPr="007B3378" w:rsidRDefault="00360726" w:rsidP="00360726"/>
    <w:p w14:paraId="3C9F8149" w14:textId="77777777" w:rsidR="00360726" w:rsidRPr="005612DC" w:rsidRDefault="00360726" w:rsidP="00360726">
      <w:pPr>
        <w:rPr>
          <w:b/>
          <w:u w:val="single"/>
        </w:rPr>
      </w:pPr>
      <w:r>
        <w:rPr>
          <w:b/>
          <w:u w:val="single"/>
        </w:rPr>
        <w:t>Health care access:</w:t>
      </w:r>
    </w:p>
    <w:p w14:paraId="4E2FA3C3" w14:textId="77777777" w:rsidR="00360726" w:rsidRDefault="00360726" w:rsidP="00360726">
      <w:pPr>
        <w:pStyle w:val="ListParagraph"/>
        <w:numPr>
          <w:ilvl w:val="0"/>
          <w:numId w:val="6"/>
        </w:numPr>
      </w:pPr>
      <w:r>
        <w:t>Only 2.12% of respondents did not have healthcare; 17.37% had it through UNCC, while 58.26% accessed it through their parents.</w:t>
      </w:r>
    </w:p>
    <w:p w14:paraId="14AA4C4E" w14:textId="77777777" w:rsidR="00360726" w:rsidRDefault="00360726" w:rsidP="00360726">
      <w:pPr>
        <w:pStyle w:val="ListParagraph"/>
        <w:numPr>
          <w:ilvl w:val="0"/>
          <w:numId w:val="6"/>
        </w:numPr>
      </w:pPr>
      <w:r>
        <w:t>59.53% had a routine medical exam within the last 12 months (17.48% received this at school), 71.40% had at least one dental exam within the same period</w:t>
      </w:r>
    </w:p>
    <w:p w14:paraId="643E055B" w14:textId="77777777" w:rsidR="00360726" w:rsidRDefault="00360726" w:rsidP="00360726">
      <w:pPr>
        <w:pStyle w:val="ListParagraph"/>
        <w:numPr>
          <w:ilvl w:val="0"/>
          <w:numId w:val="6"/>
        </w:numPr>
      </w:pPr>
      <w:r>
        <w:t xml:space="preserve">In terms of mental health care, 15.04% accessed this at school, while 27.75% accessed this outside of school, and 18.01% did not access this (472 respondents). </w:t>
      </w:r>
    </w:p>
    <w:p w14:paraId="3A6056AA" w14:textId="77777777" w:rsidR="00360726" w:rsidRDefault="00360726" w:rsidP="00360726">
      <w:pPr>
        <w:pStyle w:val="ListParagraph"/>
        <w:numPr>
          <w:ilvl w:val="0"/>
          <w:numId w:val="6"/>
        </w:numPr>
      </w:pPr>
      <w:r>
        <w:t xml:space="preserve">40.04% report needing medical services but not seeking them, primarily for financial (62.43%), insurance (47.62%), or time constraints (48.15%). </w:t>
      </w:r>
    </w:p>
    <w:p w14:paraId="1CE99319" w14:textId="77777777" w:rsidR="00360726" w:rsidRDefault="00360726" w:rsidP="00360726">
      <w:pPr>
        <w:rPr>
          <w:b/>
          <w:u w:val="single"/>
        </w:rPr>
      </w:pPr>
    </w:p>
    <w:p w14:paraId="47BCE9AB" w14:textId="77777777" w:rsidR="00360726" w:rsidRPr="00175CC6" w:rsidRDefault="00360726" w:rsidP="00360726">
      <w:pPr>
        <w:rPr>
          <w:b/>
          <w:u w:val="single"/>
        </w:rPr>
      </w:pPr>
      <w:r>
        <w:rPr>
          <w:b/>
          <w:u w:val="single"/>
        </w:rPr>
        <w:t>Digital access:</w:t>
      </w:r>
    </w:p>
    <w:p w14:paraId="355D18D1" w14:textId="77777777" w:rsidR="00360726" w:rsidRDefault="00360726" w:rsidP="00360726">
      <w:pPr>
        <w:pStyle w:val="ListParagraph"/>
        <w:numPr>
          <w:ilvl w:val="0"/>
          <w:numId w:val="7"/>
        </w:numPr>
      </w:pPr>
      <w:r>
        <w:t xml:space="preserve">97.44% of respondents report owning or leasing a smartphone; 92.52% report that this is fully functional. </w:t>
      </w:r>
    </w:p>
    <w:p w14:paraId="4F8DDFA5" w14:textId="77777777" w:rsidR="00360726" w:rsidRDefault="00360726" w:rsidP="00360726">
      <w:pPr>
        <w:pStyle w:val="ListParagraph"/>
        <w:numPr>
          <w:ilvl w:val="0"/>
          <w:numId w:val="7"/>
        </w:numPr>
      </w:pPr>
      <w:r>
        <w:t xml:space="preserve">27.56% own or lease a desktop computer, while 94.66% own or lease a laptop computer (84.62% report the laptop is fully functional). </w:t>
      </w:r>
    </w:p>
    <w:p w14:paraId="10C98EFE" w14:textId="77777777" w:rsidR="00360726" w:rsidRDefault="00360726" w:rsidP="00360726">
      <w:pPr>
        <w:pStyle w:val="ListParagraph"/>
        <w:numPr>
          <w:ilvl w:val="0"/>
          <w:numId w:val="7"/>
        </w:numPr>
      </w:pPr>
      <w:r>
        <w:t>Respondents report that they use a computer for work or school:</w:t>
      </w:r>
    </w:p>
    <w:p w14:paraId="1F7F55C8" w14:textId="77777777" w:rsidR="00360726" w:rsidRDefault="00360726" w:rsidP="0041506F">
      <w:pPr>
        <w:jc w:val="center"/>
      </w:pPr>
      <w:r>
        <w:rPr>
          <w:noProof/>
        </w:rPr>
        <w:drawing>
          <wp:inline distT="0" distB="0" distL="0" distR="0" wp14:anchorId="4BE96DB3" wp14:editId="55224D6F">
            <wp:extent cx="5943600" cy="1779905"/>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9-18 at 10.46.09 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779905"/>
                    </a:xfrm>
                    <a:prstGeom prst="rect">
                      <a:avLst/>
                    </a:prstGeom>
                  </pic:spPr>
                </pic:pic>
              </a:graphicData>
            </a:graphic>
          </wp:inline>
        </w:drawing>
      </w:r>
    </w:p>
    <w:p w14:paraId="730A9346" w14:textId="77777777" w:rsidR="00360726" w:rsidRDefault="00360726" w:rsidP="00360726">
      <w:pPr>
        <w:pStyle w:val="ListParagraph"/>
        <w:numPr>
          <w:ilvl w:val="0"/>
          <w:numId w:val="8"/>
        </w:numPr>
      </w:pPr>
      <w:r>
        <w:t xml:space="preserve">There are 151 responses about how technological problems have affected their schoolwork. </w:t>
      </w:r>
    </w:p>
    <w:p w14:paraId="77C0D86A" w14:textId="77777777" w:rsidR="00360726" w:rsidRDefault="00360726" w:rsidP="00360726">
      <w:pPr>
        <w:pStyle w:val="ListParagraph"/>
        <w:numPr>
          <w:ilvl w:val="0"/>
          <w:numId w:val="8"/>
        </w:numPr>
      </w:pPr>
      <w:r>
        <w:t xml:space="preserve">88.79% report that reliable internet access is extremely important to them with 404 responses about why they gave this rating. Most use the internet at home, though the library and school are also important locations. </w:t>
      </w:r>
    </w:p>
    <w:p w14:paraId="3C3B619B" w14:textId="77777777" w:rsidR="00360726" w:rsidRDefault="00360726" w:rsidP="00360726">
      <w:pPr>
        <w:pStyle w:val="ListParagraph"/>
        <w:numPr>
          <w:ilvl w:val="0"/>
          <w:numId w:val="8"/>
        </w:numPr>
      </w:pPr>
      <w:r>
        <w:t>52.21% report some delays in their internet speeds in their primary location, and 28.54% say they would use the internet more if they could, but they are limited primarily by availability of the internet and time constraints.</w:t>
      </w:r>
    </w:p>
    <w:p w14:paraId="1B933C82" w14:textId="77777777" w:rsidR="008A37DD" w:rsidRDefault="008A37DD">
      <w:pPr>
        <w:rPr>
          <w:b/>
        </w:rPr>
      </w:pPr>
    </w:p>
    <w:p w14:paraId="6431AB88" w14:textId="100677E8" w:rsidR="00CE0016" w:rsidRPr="00CE0016" w:rsidRDefault="00360726">
      <w:pPr>
        <w:rPr>
          <w:b/>
          <w:u w:val="single"/>
        </w:rPr>
      </w:pPr>
      <w:r>
        <w:rPr>
          <w:b/>
          <w:u w:val="single"/>
        </w:rPr>
        <w:t>Demographic</w:t>
      </w:r>
      <w:r w:rsidR="00CE0016">
        <w:rPr>
          <w:b/>
          <w:u w:val="single"/>
        </w:rPr>
        <w:t xml:space="preserve"> data </w:t>
      </w:r>
    </w:p>
    <w:p w14:paraId="501B9778" w14:textId="30587F37" w:rsidR="00F02B79" w:rsidRPr="003630BB" w:rsidRDefault="00F02B79">
      <w:pPr>
        <w:rPr>
          <w:rFonts w:ascii="Calibri" w:eastAsia="Times New Roman" w:hAnsi="Calibri" w:cs="Times New Roman"/>
          <w:color w:val="000000"/>
        </w:rPr>
      </w:pPr>
      <w:r w:rsidRPr="00CB44C5">
        <w:rPr>
          <w:b/>
        </w:rPr>
        <w:t>Year in school (661 respondents)</w:t>
      </w:r>
      <w:r w:rsidR="003630BB">
        <w:rPr>
          <w:b/>
        </w:rPr>
        <w:t xml:space="preserve"> (UNCC data from </w:t>
      </w:r>
      <w:r w:rsidR="003630BB" w:rsidRPr="003630BB">
        <w:rPr>
          <w:rFonts w:ascii="Calibri" w:eastAsia="Times New Roman" w:hAnsi="Calibri" w:cs="Times New Roman"/>
          <w:color w:val="000000"/>
        </w:rPr>
        <w:t>https://ir-analytics.uncc.edu/tableau/unc-charlotte-summary-dashboard</w:t>
      </w:r>
      <w:r w:rsidR="003630BB">
        <w:rPr>
          <w:rFonts w:ascii="Calibri" w:eastAsia="Times New Roman" w:hAnsi="Calibri" w:cs="Times New Roman"/>
          <w:color w:val="000000"/>
        </w:rPr>
        <w:t>)</w:t>
      </w:r>
      <w:r w:rsidRPr="00CB44C5">
        <w:rPr>
          <w:b/>
        </w:rPr>
        <w:t>:</w:t>
      </w:r>
    </w:p>
    <w:tbl>
      <w:tblPr>
        <w:tblStyle w:val="PlainTable3"/>
        <w:tblpPr w:leftFromText="180" w:rightFromText="180" w:vertAnchor="text" w:horzAnchor="margin" w:tblpY="82"/>
        <w:tblW w:w="6115" w:type="dxa"/>
        <w:tblLook w:val="04A0" w:firstRow="1" w:lastRow="0" w:firstColumn="1" w:lastColumn="0" w:noHBand="0" w:noVBand="1"/>
      </w:tblPr>
      <w:tblGrid>
        <w:gridCol w:w="1709"/>
        <w:gridCol w:w="1300"/>
        <w:gridCol w:w="1756"/>
        <w:gridCol w:w="1350"/>
      </w:tblGrid>
      <w:tr w:rsidR="003630BB" w:rsidRPr="003630BB" w14:paraId="71102149" w14:textId="77777777" w:rsidTr="0041506F">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709" w:type="dxa"/>
            <w:tcBorders>
              <w:top w:val="single" w:sz="4" w:space="0" w:color="auto"/>
              <w:left w:val="single" w:sz="4" w:space="0" w:color="auto"/>
            </w:tcBorders>
            <w:noWrap/>
            <w:hideMark/>
          </w:tcPr>
          <w:p w14:paraId="33888ADF"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Sp 2019</w:t>
            </w:r>
          </w:p>
        </w:tc>
        <w:tc>
          <w:tcPr>
            <w:tcW w:w="1300" w:type="dxa"/>
            <w:tcBorders>
              <w:top w:val="single" w:sz="4" w:space="0" w:color="auto"/>
            </w:tcBorders>
            <w:noWrap/>
            <w:hideMark/>
          </w:tcPr>
          <w:p w14:paraId="18446235" w14:textId="77777777"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UNCC </w:t>
            </w:r>
            <w:r w:rsidRPr="003630BB">
              <w:rPr>
                <w:rFonts w:ascii="Calibri" w:eastAsia="Times New Roman" w:hAnsi="Calibri" w:cs="Times New Roman"/>
                <w:color w:val="000000"/>
              </w:rPr>
              <w:t>Number</w:t>
            </w:r>
          </w:p>
        </w:tc>
        <w:tc>
          <w:tcPr>
            <w:tcW w:w="1756" w:type="dxa"/>
            <w:tcBorders>
              <w:top w:val="single" w:sz="4" w:space="0" w:color="auto"/>
            </w:tcBorders>
            <w:noWrap/>
            <w:hideMark/>
          </w:tcPr>
          <w:p w14:paraId="127852E3" w14:textId="77777777"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UNCC </w:t>
            </w:r>
            <w:r w:rsidRPr="003630BB">
              <w:rPr>
                <w:rFonts w:ascii="Calibri" w:eastAsia="Times New Roman" w:hAnsi="Calibri" w:cs="Times New Roman"/>
                <w:color w:val="000000"/>
              </w:rPr>
              <w:t>Percent</w:t>
            </w:r>
          </w:p>
        </w:tc>
        <w:tc>
          <w:tcPr>
            <w:tcW w:w="1350" w:type="dxa"/>
            <w:tcBorders>
              <w:top w:val="single" w:sz="4" w:space="0" w:color="auto"/>
              <w:right w:val="single" w:sz="4" w:space="0" w:color="auto"/>
            </w:tcBorders>
            <w:noWrap/>
            <w:hideMark/>
          </w:tcPr>
          <w:p w14:paraId="2D109AD1" w14:textId="77777777"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Survey</w:t>
            </w:r>
            <w:r>
              <w:rPr>
                <w:rFonts w:ascii="Calibri" w:eastAsia="Times New Roman" w:hAnsi="Calibri" w:cs="Times New Roman"/>
                <w:color w:val="000000"/>
              </w:rPr>
              <w:t xml:space="preserve"> Percent</w:t>
            </w:r>
          </w:p>
        </w:tc>
      </w:tr>
      <w:tr w:rsidR="003630BB" w:rsidRPr="003630BB" w14:paraId="2C6E0C57"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12D9D3CD"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Fr</w:t>
            </w:r>
          </w:p>
        </w:tc>
        <w:tc>
          <w:tcPr>
            <w:tcW w:w="1300" w:type="dxa"/>
            <w:noWrap/>
            <w:hideMark/>
          </w:tcPr>
          <w:p w14:paraId="499F10B3"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3309</w:t>
            </w:r>
          </w:p>
        </w:tc>
        <w:tc>
          <w:tcPr>
            <w:tcW w:w="1756" w:type="dxa"/>
            <w:noWrap/>
            <w:hideMark/>
          </w:tcPr>
          <w:p w14:paraId="765089D3" w14:textId="1E591721"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11.9050189</w:t>
            </w:r>
            <w:r w:rsidR="0096379F">
              <w:rPr>
                <w:rFonts w:ascii="Calibri" w:eastAsia="Times New Roman" w:hAnsi="Calibri" w:cs="Times New Roman"/>
                <w:color w:val="000000"/>
              </w:rPr>
              <w:t>s</w:t>
            </w:r>
          </w:p>
        </w:tc>
        <w:tc>
          <w:tcPr>
            <w:tcW w:w="1350" w:type="dxa"/>
            <w:tcBorders>
              <w:right w:val="single" w:sz="4" w:space="0" w:color="auto"/>
            </w:tcBorders>
            <w:noWrap/>
            <w:hideMark/>
          </w:tcPr>
          <w:p w14:paraId="0AC46BF3"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20.12</w:t>
            </w:r>
          </w:p>
        </w:tc>
      </w:tr>
      <w:tr w:rsidR="003630BB" w:rsidRPr="003630BB" w14:paraId="64110C38"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14DC2EE3"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So</w:t>
            </w:r>
          </w:p>
        </w:tc>
        <w:tc>
          <w:tcPr>
            <w:tcW w:w="1300" w:type="dxa"/>
            <w:noWrap/>
            <w:hideMark/>
          </w:tcPr>
          <w:p w14:paraId="5DFF86AA"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4675</w:t>
            </w:r>
          </w:p>
        </w:tc>
        <w:tc>
          <w:tcPr>
            <w:tcW w:w="1756" w:type="dxa"/>
            <w:noWrap/>
            <w:hideMark/>
          </w:tcPr>
          <w:p w14:paraId="2EDE1D8C"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16.8195719</w:t>
            </w:r>
          </w:p>
        </w:tc>
        <w:tc>
          <w:tcPr>
            <w:tcW w:w="1350" w:type="dxa"/>
            <w:tcBorders>
              <w:right w:val="single" w:sz="4" w:space="0" w:color="auto"/>
            </w:tcBorders>
            <w:noWrap/>
            <w:hideMark/>
          </w:tcPr>
          <w:p w14:paraId="1A204C05"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14.67</w:t>
            </w:r>
          </w:p>
        </w:tc>
      </w:tr>
      <w:tr w:rsidR="003630BB" w:rsidRPr="003630BB" w14:paraId="5FFB7A46"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7D0EA738"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Jr</w:t>
            </w:r>
          </w:p>
        </w:tc>
        <w:tc>
          <w:tcPr>
            <w:tcW w:w="1300" w:type="dxa"/>
            <w:noWrap/>
            <w:hideMark/>
          </w:tcPr>
          <w:p w14:paraId="3631F83F"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6679</w:t>
            </w:r>
          </w:p>
        </w:tc>
        <w:tc>
          <w:tcPr>
            <w:tcW w:w="1756" w:type="dxa"/>
            <w:noWrap/>
            <w:hideMark/>
          </w:tcPr>
          <w:p w14:paraId="360D47C1"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24.0295017</w:t>
            </w:r>
          </w:p>
        </w:tc>
        <w:tc>
          <w:tcPr>
            <w:tcW w:w="1350" w:type="dxa"/>
            <w:tcBorders>
              <w:right w:val="single" w:sz="4" w:space="0" w:color="auto"/>
            </w:tcBorders>
            <w:noWrap/>
            <w:hideMark/>
          </w:tcPr>
          <w:p w14:paraId="368679CD"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20.73</w:t>
            </w:r>
          </w:p>
        </w:tc>
      </w:tr>
      <w:tr w:rsidR="003630BB" w:rsidRPr="003630BB" w14:paraId="037B4018"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4D8EB03D"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Sr</w:t>
            </w:r>
          </w:p>
        </w:tc>
        <w:tc>
          <w:tcPr>
            <w:tcW w:w="1300" w:type="dxa"/>
            <w:noWrap/>
            <w:hideMark/>
          </w:tcPr>
          <w:p w14:paraId="760BE1B5"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7483</w:t>
            </w:r>
          </w:p>
        </w:tc>
        <w:tc>
          <w:tcPr>
            <w:tcW w:w="1756" w:type="dxa"/>
            <w:noWrap/>
            <w:hideMark/>
          </w:tcPr>
          <w:p w14:paraId="40DEDCE2"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26.9221083</w:t>
            </w:r>
          </w:p>
        </w:tc>
        <w:tc>
          <w:tcPr>
            <w:tcW w:w="1350" w:type="dxa"/>
            <w:tcBorders>
              <w:right w:val="single" w:sz="4" w:space="0" w:color="auto"/>
            </w:tcBorders>
            <w:noWrap/>
            <w:hideMark/>
          </w:tcPr>
          <w:p w14:paraId="40CC94F5"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18.46</w:t>
            </w:r>
          </w:p>
        </w:tc>
      </w:tr>
      <w:tr w:rsidR="003630BB" w:rsidRPr="003630BB" w14:paraId="5501BBE3"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2A5677F7"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FYR</w:t>
            </w:r>
          </w:p>
        </w:tc>
        <w:tc>
          <w:tcPr>
            <w:tcW w:w="1300" w:type="dxa"/>
            <w:noWrap/>
            <w:hideMark/>
          </w:tcPr>
          <w:p w14:paraId="52450EC1"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367</w:t>
            </w:r>
          </w:p>
        </w:tc>
        <w:tc>
          <w:tcPr>
            <w:tcW w:w="1756" w:type="dxa"/>
            <w:noWrap/>
            <w:hideMark/>
          </w:tcPr>
          <w:p w14:paraId="3E53DBA7"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1.32038136</w:t>
            </w:r>
          </w:p>
        </w:tc>
        <w:tc>
          <w:tcPr>
            <w:tcW w:w="1350" w:type="dxa"/>
            <w:tcBorders>
              <w:right w:val="single" w:sz="4" w:space="0" w:color="auto"/>
            </w:tcBorders>
            <w:noWrap/>
            <w:hideMark/>
          </w:tcPr>
          <w:p w14:paraId="321E71D5"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7.56</w:t>
            </w:r>
          </w:p>
        </w:tc>
      </w:tr>
      <w:tr w:rsidR="003630BB" w:rsidRPr="003630BB" w14:paraId="3978908C"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3E91E68E"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MA</w:t>
            </w:r>
          </w:p>
        </w:tc>
        <w:tc>
          <w:tcPr>
            <w:tcW w:w="1300" w:type="dxa"/>
            <w:noWrap/>
            <w:hideMark/>
          </w:tcPr>
          <w:p w14:paraId="7E46AF6C"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3178</w:t>
            </w:r>
          </w:p>
        </w:tc>
        <w:tc>
          <w:tcPr>
            <w:tcW w:w="1756" w:type="dxa"/>
            <w:noWrap/>
            <w:hideMark/>
          </w:tcPr>
          <w:p w14:paraId="78C4BA44"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11.4337111</w:t>
            </w:r>
          </w:p>
        </w:tc>
        <w:tc>
          <w:tcPr>
            <w:tcW w:w="1350" w:type="dxa"/>
            <w:tcBorders>
              <w:right w:val="single" w:sz="4" w:space="0" w:color="auto"/>
            </w:tcBorders>
            <w:noWrap/>
            <w:hideMark/>
          </w:tcPr>
          <w:p w14:paraId="2E2AC29B"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12.1</w:t>
            </w:r>
          </w:p>
        </w:tc>
      </w:tr>
      <w:tr w:rsidR="003630BB" w:rsidRPr="003630BB" w14:paraId="6AF7D343"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614E1556"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PhD</w:t>
            </w:r>
          </w:p>
        </w:tc>
        <w:tc>
          <w:tcPr>
            <w:tcW w:w="1300" w:type="dxa"/>
            <w:noWrap/>
            <w:hideMark/>
          </w:tcPr>
          <w:p w14:paraId="0B957337"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967</w:t>
            </w:r>
          </w:p>
        </w:tc>
        <w:tc>
          <w:tcPr>
            <w:tcW w:w="1756" w:type="dxa"/>
            <w:noWrap/>
            <w:hideMark/>
          </w:tcPr>
          <w:p w14:paraId="7F71B8D4"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3.47904299</w:t>
            </w:r>
          </w:p>
        </w:tc>
        <w:tc>
          <w:tcPr>
            <w:tcW w:w="1350" w:type="dxa"/>
            <w:tcBorders>
              <w:right w:val="single" w:sz="4" w:space="0" w:color="auto"/>
            </w:tcBorders>
            <w:noWrap/>
            <w:hideMark/>
          </w:tcPr>
          <w:p w14:paraId="48CC9187"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5.75</w:t>
            </w:r>
          </w:p>
        </w:tc>
      </w:tr>
      <w:tr w:rsidR="003630BB" w:rsidRPr="003630BB" w14:paraId="23FDADEF"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tcBorders>
            <w:noWrap/>
            <w:hideMark/>
          </w:tcPr>
          <w:p w14:paraId="4070AEC5"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Other</w:t>
            </w:r>
          </w:p>
        </w:tc>
        <w:tc>
          <w:tcPr>
            <w:tcW w:w="1300" w:type="dxa"/>
            <w:noWrap/>
            <w:hideMark/>
          </w:tcPr>
          <w:p w14:paraId="3DED981A"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1137</w:t>
            </w:r>
          </w:p>
        </w:tc>
        <w:tc>
          <w:tcPr>
            <w:tcW w:w="1756" w:type="dxa"/>
            <w:noWrap/>
            <w:hideMark/>
          </w:tcPr>
          <w:p w14:paraId="5EF103CC"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4.09066379</w:t>
            </w:r>
          </w:p>
        </w:tc>
        <w:tc>
          <w:tcPr>
            <w:tcW w:w="1350" w:type="dxa"/>
            <w:tcBorders>
              <w:right w:val="single" w:sz="4" w:space="0" w:color="auto"/>
            </w:tcBorders>
            <w:noWrap/>
            <w:hideMark/>
          </w:tcPr>
          <w:p w14:paraId="5F2B8798"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0.61</w:t>
            </w:r>
          </w:p>
        </w:tc>
      </w:tr>
      <w:tr w:rsidR="003630BB" w:rsidRPr="003630BB" w14:paraId="4CBDCB8D"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9" w:type="dxa"/>
            <w:tcBorders>
              <w:left w:val="single" w:sz="4" w:space="0" w:color="auto"/>
              <w:bottom w:val="single" w:sz="4" w:space="0" w:color="auto"/>
            </w:tcBorders>
            <w:noWrap/>
            <w:hideMark/>
          </w:tcPr>
          <w:p w14:paraId="560669E3"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TOTAL</w:t>
            </w:r>
          </w:p>
        </w:tc>
        <w:tc>
          <w:tcPr>
            <w:tcW w:w="1300" w:type="dxa"/>
            <w:tcBorders>
              <w:bottom w:val="single" w:sz="4" w:space="0" w:color="auto"/>
            </w:tcBorders>
            <w:noWrap/>
            <w:hideMark/>
          </w:tcPr>
          <w:p w14:paraId="4F190EEB"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27795</w:t>
            </w:r>
          </w:p>
        </w:tc>
        <w:tc>
          <w:tcPr>
            <w:tcW w:w="1756" w:type="dxa"/>
            <w:tcBorders>
              <w:bottom w:val="single" w:sz="4" w:space="0" w:color="auto"/>
            </w:tcBorders>
            <w:noWrap/>
            <w:hideMark/>
          </w:tcPr>
          <w:p w14:paraId="0F5E24F7"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100</w:t>
            </w:r>
          </w:p>
        </w:tc>
        <w:tc>
          <w:tcPr>
            <w:tcW w:w="1350" w:type="dxa"/>
            <w:tcBorders>
              <w:bottom w:val="single" w:sz="4" w:space="0" w:color="auto"/>
              <w:right w:val="single" w:sz="4" w:space="0" w:color="auto"/>
            </w:tcBorders>
            <w:noWrap/>
            <w:hideMark/>
          </w:tcPr>
          <w:p w14:paraId="29BCD82C"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21AD9607" w14:textId="4515E6E4" w:rsidR="00F02B79" w:rsidRDefault="00F02B79" w:rsidP="00CB44C5">
      <w:pPr>
        <w:pStyle w:val="ListParagraph"/>
        <w:numPr>
          <w:ilvl w:val="0"/>
          <w:numId w:val="2"/>
        </w:numPr>
      </w:pPr>
      <w:r>
        <w:t>85.33% of respondents were full time students (12 credits or more for undergraduates, 9 for graduate students)</w:t>
      </w:r>
    </w:p>
    <w:p w14:paraId="74479F07" w14:textId="5D8616FD" w:rsidR="00F02B79" w:rsidRDefault="00F02B79" w:rsidP="00CB44C5">
      <w:pPr>
        <w:pStyle w:val="ListParagraph"/>
        <w:numPr>
          <w:ilvl w:val="0"/>
          <w:numId w:val="2"/>
        </w:numPr>
      </w:pPr>
      <w:r>
        <w:t>65.58% identified as female</w:t>
      </w:r>
      <w:r w:rsidR="00E07E9C">
        <w:t xml:space="preserve"> (compared with 48.7% of UNCC students)</w:t>
      </w:r>
      <w:r>
        <w:t>, 30.86% as male, and 85.63% identified as heterosexual, 7.86% as bisexual, and 2.87% as gay or lesbian</w:t>
      </w:r>
    </w:p>
    <w:p w14:paraId="0AC46088" w14:textId="630CB24E" w:rsidR="00F02B79" w:rsidRDefault="00F02B79" w:rsidP="00CB44C5">
      <w:pPr>
        <w:pStyle w:val="ListParagraph"/>
        <w:numPr>
          <w:ilvl w:val="0"/>
          <w:numId w:val="2"/>
        </w:numPr>
      </w:pPr>
      <w:r>
        <w:t>Most students born from 1990-2000</w:t>
      </w:r>
    </w:p>
    <w:p w14:paraId="65B4BD70" w14:textId="760A656F" w:rsidR="00F02B79" w:rsidRDefault="00F02B79" w:rsidP="00CB44C5">
      <w:pPr>
        <w:pStyle w:val="ListParagraph"/>
        <w:numPr>
          <w:ilvl w:val="0"/>
          <w:numId w:val="2"/>
        </w:numPr>
      </w:pPr>
      <w:r>
        <w:t>93.19% are US citizens or permanent residents</w:t>
      </w:r>
    </w:p>
    <w:p w14:paraId="58DFCEB6" w14:textId="77777777" w:rsidR="003630BB" w:rsidRDefault="003630BB">
      <w:pPr>
        <w:rPr>
          <w:b/>
        </w:rPr>
      </w:pPr>
    </w:p>
    <w:p w14:paraId="69A7707F" w14:textId="77777777" w:rsidR="0041506F" w:rsidRDefault="0041506F">
      <w:pPr>
        <w:rPr>
          <w:b/>
        </w:rPr>
      </w:pPr>
    </w:p>
    <w:p w14:paraId="570E4A8E" w14:textId="77777777" w:rsidR="0041506F" w:rsidRDefault="0041506F">
      <w:pPr>
        <w:rPr>
          <w:b/>
        </w:rPr>
      </w:pPr>
    </w:p>
    <w:p w14:paraId="536D8020" w14:textId="5793AADA" w:rsidR="00F02B79" w:rsidRDefault="00F02B79">
      <w:pPr>
        <w:rPr>
          <w:b/>
        </w:rPr>
      </w:pPr>
      <w:r w:rsidRPr="00CB44C5">
        <w:rPr>
          <w:b/>
        </w:rPr>
        <w:t>Ethnic identity (checked all that applied):</w:t>
      </w:r>
    </w:p>
    <w:tbl>
      <w:tblPr>
        <w:tblStyle w:val="PlainTable3"/>
        <w:tblW w:w="7285" w:type="dxa"/>
        <w:tblLook w:val="04A0" w:firstRow="1" w:lastRow="0" w:firstColumn="1" w:lastColumn="0" w:noHBand="0" w:noVBand="1"/>
      </w:tblPr>
      <w:tblGrid>
        <w:gridCol w:w="2772"/>
        <w:gridCol w:w="1453"/>
        <w:gridCol w:w="1800"/>
        <w:gridCol w:w="1260"/>
      </w:tblGrid>
      <w:tr w:rsidR="003630BB" w:rsidRPr="003630BB" w14:paraId="528C7FD6" w14:textId="77777777" w:rsidTr="0041506F">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772" w:type="dxa"/>
            <w:tcBorders>
              <w:top w:val="single" w:sz="4" w:space="0" w:color="auto"/>
              <w:left w:val="single" w:sz="4" w:space="0" w:color="auto"/>
            </w:tcBorders>
            <w:noWrap/>
            <w:hideMark/>
          </w:tcPr>
          <w:p w14:paraId="66AF8719"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Sp 2019</w:t>
            </w:r>
          </w:p>
        </w:tc>
        <w:tc>
          <w:tcPr>
            <w:tcW w:w="1453" w:type="dxa"/>
            <w:tcBorders>
              <w:top w:val="single" w:sz="4" w:space="0" w:color="auto"/>
            </w:tcBorders>
            <w:noWrap/>
            <w:hideMark/>
          </w:tcPr>
          <w:p w14:paraId="76DEAA10" w14:textId="494EE3CB"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UNCC </w:t>
            </w:r>
            <w:r w:rsidRPr="003630BB">
              <w:rPr>
                <w:rFonts w:ascii="Calibri" w:eastAsia="Times New Roman" w:hAnsi="Calibri" w:cs="Times New Roman"/>
                <w:color w:val="000000"/>
              </w:rPr>
              <w:t>Number</w:t>
            </w:r>
          </w:p>
        </w:tc>
        <w:tc>
          <w:tcPr>
            <w:tcW w:w="1800" w:type="dxa"/>
            <w:tcBorders>
              <w:top w:val="single" w:sz="4" w:space="0" w:color="auto"/>
            </w:tcBorders>
            <w:noWrap/>
            <w:hideMark/>
          </w:tcPr>
          <w:p w14:paraId="572F1BCD" w14:textId="12BCD458"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UNCC </w:t>
            </w:r>
            <w:r w:rsidRPr="003630BB">
              <w:rPr>
                <w:rFonts w:ascii="Calibri" w:eastAsia="Times New Roman" w:hAnsi="Calibri" w:cs="Times New Roman"/>
                <w:color w:val="000000"/>
              </w:rPr>
              <w:t>Percent</w:t>
            </w:r>
          </w:p>
        </w:tc>
        <w:tc>
          <w:tcPr>
            <w:tcW w:w="1260" w:type="dxa"/>
            <w:tcBorders>
              <w:top w:val="single" w:sz="4" w:space="0" w:color="auto"/>
              <w:right w:val="single" w:sz="4" w:space="0" w:color="auto"/>
            </w:tcBorders>
            <w:noWrap/>
            <w:hideMark/>
          </w:tcPr>
          <w:p w14:paraId="454A6835" w14:textId="1756C292" w:rsidR="003630BB" w:rsidRPr="003630BB" w:rsidRDefault="003630BB" w:rsidP="0041506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Survey</w:t>
            </w:r>
            <w:r>
              <w:rPr>
                <w:rFonts w:ascii="Calibri" w:eastAsia="Times New Roman" w:hAnsi="Calibri" w:cs="Times New Roman"/>
                <w:color w:val="000000"/>
              </w:rPr>
              <w:t xml:space="preserve"> Percent</w:t>
            </w:r>
          </w:p>
        </w:tc>
      </w:tr>
      <w:tr w:rsidR="003630BB" w:rsidRPr="003630BB" w14:paraId="692F7723"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731112A0"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 xml:space="preserve">White </w:t>
            </w:r>
          </w:p>
        </w:tc>
        <w:tc>
          <w:tcPr>
            <w:tcW w:w="1453" w:type="dxa"/>
            <w:noWrap/>
            <w:hideMark/>
          </w:tcPr>
          <w:p w14:paraId="710474D1"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15115</w:t>
            </w:r>
          </w:p>
        </w:tc>
        <w:tc>
          <w:tcPr>
            <w:tcW w:w="1800" w:type="dxa"/>
            <w:noWrap/>
            <w:hideMark/>
          </w:tcPr>
          <w:p w14:paraId="530256F5"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54.3802842</w:t>
            </w:r>
          </w:p>
        </w:tc>
        <w:tc>
          <w:tcPr>
            <w:tcW w:w="1260" w:type="dxa"/>
            <w:tcBorders>
              <w:right w:val="single" w:sz="4" w:space="0" w:color="auto"/>
            </w:tcBorders>
            <w:noWrap/>
            <w:hideMark/>
          </w:tcPr>
          <w:p w14:paraId="1BCED78A"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51.75</w:t>
            </w:r>
          </w:p>
        </w:tc>
      </w:tr>
      <w:tr w:rsidR="003630BB" w:rsidRPr="003630BB" w14:paraId="46B3CD42"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5CFA67C8"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African American</w:t>
            </w:r>
          </w:p>
        </w:tc>
        <w:tc>
          <w:tcPr>
            <w:tcW w:w="1453" w:type="dxa"/>
            <w:noWrap/>
            <w:hideMark/>
          </w:tcPr>
          <w:p w14:paraId="0D6C5D58"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4416</w:t>
            </w:r>
          </w:p>
        </w:tc>
        <w:tc>
          <w:tcPr>
            <w:tcW w:w="1800" w:type="dxa"/>
            <w:noWrap/>
            <w:hideMark/>
          </w:tcPr>
          <w:p w14:paraId="1145ABD9"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15.8877496</w:t>
            </w:r>
          </w:p>
        </w:tc>
        <w:tc>
          <w:tcPr>
            <w:tcW w:w="1260" w:type="dxa"/>
            <w:tcBorders>
              <w:right w:val="single" w:sz="4" w:space="0" w:color="auto"/>
            </w:tcBorders>
            <w:noWrap/>
            <w:hideMark/>
          </w:tcPr>
          <w:p w14:paraId="38DE641F"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17.52</w:t>
            </w:r>
          </w:p>
        </w:tc>
      </w:tr>
      <w:tr w:rsidR="003630BB" w:rsidRPr="003630BB" w14:paraId="55A78343"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7AD62834"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Hispanic</w:t>
            </w:r>
          </w:p>
        </w:tc>
        <w:tc>
          <w:tcPr>
            <w:tcW w:w="1453" w:type="dxa"/>
            <w:noWrap/>
            <w:hideMark/>
          </w:tcPr>
          <w:p w14:paraId="04D13AD2"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2655</w:t>
            </w:r>
          </w:p>
        </w:tc>
        <w:tc>
          <w:tcPr>
            <w:tcW w:w="1800" w:type="dxa"/>
            <w:noWrap/>
            <w:hideMark/>
          </w:tcPr>
          <w:p w14:paraId="69CA3B5D"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9.55207771</w:t>
            </w:r>
          </w:p>
        </w:tc>
        <w:tc>
          <w:tcPr>
            <w:tcW w:w="1260" w:type="dxa"/>
            <w:tcBorders>
              <w:right w:val="single" w:sz="4" w:space="0" w:color="auto"/>
            </w:tcBorders>
            <w:noWrap/>
            <w:hideMark/>
          </w:tcPr>
          <w:p w14:paraId="0E545E04"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8.76</w:t>
            </w:r>
          </w:p>
        </w:tc>
      </w:tr>
      <w:tr w:rsidR="003630BB" w:rsidRPr="003630BB" w14:paraId="54A11CF2"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166389F1"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Asian</w:t>
            </w:r>
          </w:p>
        </w:tc>
        <w:tc>
          <w:tcPr>
            <w:tcW w:w="1453" w:type="dxa"/>
            <w:noWrap/>
            <w:hideMark/>
          </w:tcPr>
          <w:p w14:paraId="03AFABE9"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1894</w:t>
            </w:r>
          </w:p>
        </w:tc>
        <w:tc>
          <w:tcPr>
            <w:tcW w:w="1800" w:type="dxa"/>
            <w:noWrap/>
            <w:hideMark/>
          </w:tcPr>
          <w:p w14:paraId="0562B675"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6.81417521</w:t>
            </w:r>
          </w:p>
        </w:tc>
        <w:tc>
          <w:tcPr>
            <w:tcW w:w="1260" w:type="dxa"/>
            <w:tcBorders>
              <w:right w:val="single" w:sz="4" w:space="0" w:color="auto"/>
            </w:tcBorders>
            <w:noWrap/>
            <w:hideMark/>
          </w:tcPr>
          <w:p w14:paraId="36FE4B72"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10.92</w:t>
            </w:r>
          </w:p>
        </w:tc>
      </w:tr>
      <w:tr w:rsidR="003630BB" w:rsidRPr="003630BB" w14:paraId="317323CB"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43E04329"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Multiracial</w:t>
            </w:r>
          </w:p>
        </w:tc>
        <w:tc>
          <w:tcPr>
            <w:tcW w:w="1453" w:type="dxa"/>
            <w:noWrap/>
            <w:hideMark/>
          </w:tcPr>
          <w:p w14:paraId="0D7D4E2B"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1142</w:t>
            </w:r>
          </w:p>
        </w:tc>
        <w:tc>
          <w:tcPr>
            <w:tcW w:w="1800" w:type="dxa"/>
            <w:noWrap/>
            <w:hideMark/>
          </w:tcPr>
          <w:p w14:paraId="1B2C8C08"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4.10865264</w:t>
            </w:r>
          </w:p>
        </w:tc>
        <w:tc>
          <w:tcPr>
            <w:tcW w:w="1260" w:type="dxa"/>
            <w:tcBorders>
              <w:right w:val="single" w:sz="4" w:space="0" w:color="auto"/>
            </w:tcBorders>
            <w:noWrap/>
            <w:hideMark/>
          </w:tcPr>
          <w:p w14:paraId="1704E287"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3630BB" w:rsidRPr="003630BB" w14:paraId="1FE9A615"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2930F8EA"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American Indian</w:t>
            </w:r>
          </w:p>
        </w:tc>
        <w:tc>
          <w:tcPr>
            <w:tcW w:w="1453" w:type="dxa"/>
            <w:noWrap/>
            <w:hideMark/>
          </w:tcPr>
          <w:p w14:paraId="56C9FE80"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85</w:t>
            </w:r>
          </w:p>
        </w:tc>
        <w:tc>
          <w:tcPr>
            <w:tcW w:w="1800" w:type="dxa"/>
            <w:noWrap/>
            <w:hideMark/>
          </w:tcPr>
          <w:p w14:paraId="1E355802"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0.3058104</w:t>
            </w:r>
          </w:p>
        </w:tc>
        <w:tc>
          <w:tcPr>
            <w:tcW w:w="1260" w:type="dxa"/>
            <w:tcBorders>
              <w:right w:val="single" w:sz="4" w:space="0" w:color="auto"/>
            </w:tcBorders>
            <w:noWrap/>
            <w:hideMark/>
          </w:tcPr>
          <w:p w14:paraId="7F7E0097"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2.42</w:t>
            </w:r>
          </w:p>
        </w:tc>
      </w:tr>
      <w:tr w:rsidR="003630BB" w:rsidRPr="003630BB" w14:paraId="4224455C" w14:textId="77777777" w:rsidTr="004150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tcBorders>
            <w:noWrap/>
            <w:hideMark/>
          </w:tcPr>
          <w:p w14:paraId="6195259B"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Pacific Islander</w:t>
            </w:r>
          </w:p>
        </w:tc>
        <w:tc>
          <w:tcPr>
            <w:tcW w:w="1453" w:type="dxa"/>
            <w:noWrap/>
            <w:hideMark/>
          </w:tcPr>
          <w:p w14:paraId="31D08B11"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29</w:t>
            </w:r>
          </w:p>
        </w:tc>
        <w:tc>
          <w:tcPr>
            <w:tcW w:w="1800" w:type="dxa"/>
            <w:noWrap/>
            <w:hideMark/>
          </w:tcPr>
          <w:p w14:paraId="2873EA43"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0.10433531</w:t>
            </w:r>
          </w:p>
        </w:tc>
        <w:tc>
          <w:tcPr>
            <w:tcW w:w="1260" w:type="dxa"/>
            <w:tcBorders>
              <w:right w:val="single" w:sz="4" w:space="0" w:color="auto"/>
            </w:tcBorders>
            <w:noWrap/>
            <w:hideMark/>
          </w:tcPr>
          <w:p w14:paraId="01EED314" w14:textId="77777777" w:rsidR="003630BB" w:rsidRPr="003630BB" w:rsidRDefault="003630BB" w:rsidP="004150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0.27</w:t>
            </w:r>
          </w:p>
        </w:tc>
      </w:tr>
      <w:tr w:rsidR="003630BB" w:rsidRPr="003630BB" w14:paraId="0FEBA99B" w14:textId="77777777" w:rsidTr="0041506F">
        <w:trPr>
          <w:trHeight w:val="320"/>
        </w:trPr>
        <w:tc>
          <w:tcPr>
            <w:cnfStyle w:val="001000000000" w:firstRow="0" w:lastRow="0" w:firstColumn="1" w:lastColumn="0" w:oddVBand="0" w:evenVBand="0" w:oddHBand="0" w:evenHBand="0" w:firstRowFirstColumn="0" w:firstRowLastColumn="0" w:lastRowFirstColumn="0" w:lastRowLastColumn="0"/>
            <w:tcW w:w="2772" w:type="dxa"/>
            <w:tcBorders>
              <w:left w:val="single" w:sz="4" w:space="0" w:color="auto"/>
              <w:bottom w:val="single" w:sz="4" w:space="0" w:color="auto"/>
            </w:tcBorders>
            <w:noWrap/>
            <w:hideMark/>
          </w:tcPr>
          <w:p w14:paraId="0485C2E1" w14:textId="77777777" w:rsidR="003630BB" w:rsidRPr="003630BB" w:rsidRDefault="003630BB" w:rsidP="0041506F">
            <w:pPr>
              <w:jc w:val="right"/>
              <w:rPr>
                <w:rFonts w:ascii="Calibri" w:eastAsia="Times New Roman" w:hAnsi="Calibri" w:cs="Times New Roman"/>
                <w:color w:val="000000"/>
              </w:rPr>
            </w:pPr>
            <w:r w:rsidRPr="003630BB">
              <w:rPr>
                <w:rFonts w:ascii="Calibri" w:eastAsia="Times New Roman" w:hAnsi="Calibri" w:cs="Times New Roman"/>
                <w:color w:val="000000"/>
              </w:rPr>
              <w:t>TOTAL</w:t>
            </w:r>
          </w:p>
        </w:tc>
        <w:tc>
          <w:tcPr>
            <w:tcW w:w="1453" w:type="dxa"/>
            <w:tcBorders>
              <w:bottom w:val="single" w:sz="4" w:space="0" w:color="auto"/>
            </w:tcBorders>
            <w:noWrap/>
            <w:hideMark/>
          </w:tcPr>
          <w:p w14:paraId="1A91DDCC"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27795</w:t>
            </w:r>
          </w:p>
        </w:tc>
        <w:tc>
          <w:tcPr>
            <w:tcW w:w="1800" w:type="dxa"/>
            <w:tcBorders>
              <w:bottom w:val="single" w:sz="4" w:space="0" w:color="auto"/>
            </w:tcBorders>
            <w:noWrap/>
            <w:hideMark/>
          </w:tcPr>
          <w:p w14:paraId="68F6AD74"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30BB">
              <w:rPr>
                <w:rFonts w:ascii="Calibri" w:eastAsia="Times New Roman" w:hAnsi="Calibri" w:cs="Times New Roman"/>
                <w:color w:val="000000"/>
              </w:rPr>
              <w:t>100</w:t>
            </w:r>
          </w:p>
        </w:tc>
        <w:tc>
          <w:tcPr>
            <w:tcW w:w="1260" w:type="dxa"/>
            <w:tcBorders>
              <w:bottom w:val="single" w:sz="4" w:space="0" w:color="auto"/>
              <w:right w:val="single" w:sz="4" w:space="0" w:color="auto"/>
            </w:tcBorders>
            <w:noWrap/>
            <w:hideMark/>
          </w:tcPr>
          <w:p w14:paraId="5A692CE1" w14:textId="77777777" w:rsidR="003630BB" w:rsidRPr="003630BB" w:rsidRDefault="003630BB" w:rsidP="004150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633DA64" w14:textId="53A3B8F4" w:rsidR="00F02B79" w:rsidRDefault="00F02B79"/>
    <w:sectPr w:rsidR="00F02B79" w:rsidSect="0041506F">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E73E" w14:textId="77777777" w:rsidR="000A19FD" w:rsidRDefault="000A19FD" w:rsidP="00A03732">
      <w:r>
        <w:separator/>
      </w:r>
    </w:p>
  </w:endnote>
  <w:endnote w:type="continuationSeparator" w:id="0">
    <w:p w14:paraId="4A767CFE" w14:textId="77777777" w:rsidR="000A19FD" w:rsidRDefault="000A19FD" w:rsidP="00A0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4611619"/>
      <w:docPartObj>
        <w:docPartGallery w:val="Page Numbers (Bottom of Page)"/>
        <w:docPartUnique/>
      </w:docPartObj>
    </w:sdtPr>
    <w:sdtEndPr>
      <w:rPr>
        <w:rStyle w:val="PageNumber"/>
      </w:rPr>
    </w:sdtEndPr>
    <w:sdtContent>
      <w:p w14:paraId="77C68983" w14:textId="20549757" w:rsidR="00A03732" w:rsidRDefault="00A03732" w:rsidP="002A78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19C5D1" w14:textId="77777777" w:rsidR="00A03732" w:rsidRDefault="00A03732" w:rsidP="00A03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4082754"/>
      <w:docPartObj>
        <w:docPartGallery w:val="Page Numbers (Bottom of Page)"/>
        <w:docPartUnique/>
      </w:docPartObj>
    </w:sdtPr>
    <w:sdtEndPr>
      <w:rPr>
        <w:rStyle w:val="PageNumber"/>
      </w:rPr>
    </w:sdtEndPr>
    <w:sdtContent>
      <w:p w14:paraId="58B765FC" w14:textId="52E10F28" w:rsidR="00A03732" w:rsidRDefault="00A03732" w:rsidP="002A78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342F">
          <w:rPr>
            <w:rStyle w:val="PageNumber"/>
            <w:noProof/>
          </w:rPr>
          <w:t>2</w:t>
        </w:r>
        <w:r>
          <w:rPr>
            <w:rStyle w:val="PageNumber"/>
          </w:rPr>
          <w:fldChar w:fldCharType="end"/>
        </w:r>
      </w:p>
    </w:sdtContent>
  </w:sdt>
  <w:p w14:paraId="6D57B493" w14:textId="77777777" w:rsidR="00A03732" w:rsidRDefault="00A03732" w:rsidP="00A037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F537" w14:textId="77777777" w:rsidR="000A19FD" w:rsidRDefault="000A19FD" w:rsidP="00A03732">
      <w:r>
        <w:separator/>
      </w:r>
    </w:p>
  </w:footnote>
  <w:footnote w:type="continuationSeparator" w:id="0">
    <w:p w14:paraId="008400E0" w14:textId="77777777" w:rsidR="000A19FD" w:rsidRDefault="000A19FD" w:rsidP="00A0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566"/>
    <w:multiLevelType w:val="hybridMultilevel"/>
    <w:tmpl w:val="CAA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41719"/>
    <w:multiLevelType w:val="hybridMultilevel"/>
    <w:tmpl w:val="BE76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F5127"/>
    <w:multiLevelType w:val="hybridMultilevel"/>
    <w:tmpl w:val="0810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31C9C"/>
    <w:multiLevelType w:val="hybridMultilevel"/>
    <w:tmpl w:val="A73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D768F"/>
    <w:multiLevelType w:val="hybridMultilevel"/>
    <w:tmpl w:val="4D5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D2E8C"/>
    <w:multiLevelType w:val="hybridMultilevel"/>
    <w:tmpl w:val="EC84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366A1"/>
    <w:multiLevelType w:val="hybridMultilevel"/>
    <w:tmpl w:val="E35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03324"/>
    <w:multiLevelType w:val="hybridMultilevel"/>
    <w:tmpl w:val="604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F4592"/>
    <w:multiLevelType w:val="hybridMultilevel"/>
    <w:tmpl w:val="944A6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79"/>
    <w:rsid w:val="00053084"/>
    <w:rsid w:val="000A19FD"/>
    <w:rsid w:val="000E652A"/>
    <w:rsid w:val="000F624C"/>
    <w:rsid w:val="0013342F"/>
    <w:rsid w:val="00144DA5"/>
    <w:rsid w:val="0015428E"/>
    <w:rsid w:val="00175CC6"/>
    <w:rsid w:val="00183FEB"/>
    <w:rsid w:val="00191439"/>
    <w:rsid w:val="00247C82"/>
    <w:rsid w:val="002701DD"/>
    <w:rsid w:val="00270BB6"/>
    <w:rsid w:val="002D6A59"/>
    <w:rsid w:val="00360726"/>
    <w:rsid w:val="003630BB"/>
    <w:rsid w:val="00390D90"/>
    <w:rsid w:val="003C0153"/>
    <w:rsid w:val="003C6087"/>
    <w:rsid w:val="0040654B"/>
    <w:rsid w:val="0041506F"/>
    <w:rsid w:val="00447C03"/>
    <w:rsid w:val="005612DC"/>
    <w:rsid w:val="00601805"/>
    <w:rsid w:val="006137B6"/>
    <w:rsid w:val="006B5451"/>
    <w:rsid w:val="007012B7"/>
    <w:rsid w:val="007108CC"/>
    <w:rsid w:val="00721527"/>
    <w:rsid w:val="0076232E"/>
    <w:rsid w:val="0076380D"/>
    <w:rsid w:val="007827D2"/>
    <w:rsid w:val="007B3378"/>
    <w:rsid w:val="007D5C82"/>
    <w:rsid w:val="007F2BDC"/>
    <w:rsid w:val="007F30E4"/>
    <w:rsid w:val="00860D6A"/>
    <w:rsid w:val="00882DE5"/>
    <w:rsid w:val="008A37DD"/>
    <w:rsid w:val="00916B36"/>
    <w:rsid w:val="0096379F"/>
    <w:rsid w:val="00A03732"/>
    <w:rsid w:val="00A3632D"/>
    <w:rsid w:val="00A54A39"/>
    <w:rsid w:val="00AB2E82"/>
    <w:rsid w:val="00AE395B"/>
    <w:rsid w:val="00AE5B2B"/>
    <w:rsid w:val="00BF46AB"/>
    <w:rsid w:val="00CB44C5"/>
    <w:rsid w:val="00CE0016"/>
    <w:rsid w:val="00D722D4"/>
    <w:rsid w:val="00DB294A"/>
    <w:rsid w:val="00E07E9C"/>
    <w:rsid w:val="00EB10CC"/>
    <w:rsid w:val="00EB5AB2"/>
    <w:rsid w:val="00F02B79"/>
    <w:rsid w:val="00FB1BF5"/>
    <w:rsid w:val="00FB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B36D"/>
  <w14:defaultImageDpi w14:val="32767"/>
  <w15:chartTrackingRefBased/>
  <w15:docId w15:val="{BB74CC10-71AE-F343-AFB4-8AB23AE7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4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CB44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B44C5"/>
    <w:pPr>
      <w:ind w:left="720"/>
      <w:contextualSpacing/>
    </w:pPr>
  </w:style>
  <w:style w:type="character" w:customStyle="1" w:styleId="Heading1Char">
    <w:name w:val="Heading 1 Char"/>
    <w:basedOn w:val="DefaultParagraphFont"/>
    <w:link w:val="Heading1"/>
    <w:uiPriority w:val="9"/>
    <w:rsid w:val="00CB44C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03732"/>
    <w:pPr>
      <w:tabs>
        <w:tab w:val="center" w:pos="4680"/>
        <w:tab w:val="right" w:pos="9360"/>
      </w:tabs>
    </w:pPr>
  </w:style>
  <w:style w:type="character" w:customStyle="1" w:styleId="FooterChar">
    <w:name w:val="Footer Char"/>
    <w:basedOn w:val="DefaultParagraphFont"/>
    <w:link w:val="Footer"/>
    <w:uiPriority w:val="99"/>
    <w:rsid w:val="00A03732"/>
  </w:style>
  <w:style w:type="character" w:styleId="PageNumber">
    <w:name w:val="page number"/>
    <w:basedOn w:val="DefaultParagraphFont"/>
    <w:uiPriority w:val="99"/>
    <w:semiHidden/>
    <w:unhideWhenUsed/>
    <w:rsid w:val="00A03732"/>
  </w:style>
  <w:style w:type="table" w:styleId="PlainTable3">
    <w:name w:val="Plain Table 3"/>
    <w:basedOn w:val="TableNormal"/>
    <w:uiPriority w:val="43"/>
    <w:rsid w:val="003630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7B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E00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CE001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FB1BF5"/>
    <w:rPr>
      <w:b/>
      <w:bCs/>
    </w:rPr>
  </w:style>
  <w:style w:type="character" w:styleId="Emphasis">
    <w:name w:val="Emphasis"/>
    <w:basedOn w:val="DefaultParagraphFont"/>
    <w:uiPriority w:val="20"/>
    <w:qFormat/>
    <w:rsid w:val="00FB1BF5"/>
    <w:rPr>
      <w:i/>
      <w:iCs/>
    </w:rPr>
  </w:style>
  <w:style w:type="paragraph" w:styleId="BalloonText">
    <w:name w:val="Balloon Text"/>
    <w:basedOn w:val="Normal"/>
    <w:link w:val="BalloonTextChar"/>
    <w:uiPriority w:val="99"/>
    <w:semiHidden/>
    <w:unhideWhenUsed/>
    <w:rsid w:val="00133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0755">
      <w:bodyDiv w:val="1"/>
      <w:marLeft w:val="0"/>
      <w:marRight w:val="0"/>
      <w:marTop w:val="0"/>
      <w:marBottom w:val="0"/>
      <w:divBdr>
        <w:top w:val="none" w:sz="0" w:space="0" w:color="auto"/>
        <w:left w:val="none" w:sz="0" w:space="0" w:color="auto"/>
        <w:bottom w:val="none" w:sz="0" w:space="0" w:color="auto"/>
        <w:right w:val="none" w:sz="0" w:space="0" w:color="auto"/>
      </w:divBdr>
    </w:div>
    <w:div w:id="391775342">
      <w:bodyDiv w:val="1"/>
      <w:marLeft w:val="0"/>
      <w:marRight w:val="0"/>
      <w:marTop w:val="0"/>
      <w:marBottom w:val="0"/>
      <w:divBdr>
        <w:top w:val="none" w:sz="0" w:space="0" w:color="auto"/>
        <w:left w:val="none" w:sz="0" w:space="0" w:color="auto"/>
        <w:bottom w:val="none" w:sz="0" w:space="0" w:color="auto"/>
        <w:right w:val="none" w:sz="0" w:space="0" w:color="auto"/>
      </w:divBdr>
    </w:div>
    <w:div w:id="658272948">
      <w:bodyDiv w:val="1"/>
      <w:marLeft w:val="0"/>
      <w:marRight w:val="0"/>
      <w:marTop w:val="0"/>
      <w:marBottom w:val="0"/>
      <w:divBdr>
        <w:top w:val="none" w:sz="0" w:space="0" w:color="auto"/>
        <w:left w:val="none" w:sz="0" w:space="0" w:color="auto"/>
        <w:bottom w:val="none" w:sz="0" w:space="0" w:color="auto"/>
        <w:right w:val="none" w:sz="0" w:space="0" w:color="auto"/>
      </w:divBdr>
    </w:div>
    <w:div w:id="1679843380">
      <w:bodyDiv w:val="1"/>
      <w:marLeft w:val="0"/>
      <w:marRight w:val="0"/>
      <w:marTop w:val="0"/>
      <w:marBottom w:val="0"/>
      <w:divBdr>
        <w:top w:val="none" w:sz="0" w:space="0" w:color="auto"/>
        <w:left w:val="none" w:sz="0" w:space="0" w:color="auto"/>
        <w:bottom w:val="none" w:sz="0" w:space="0" w:color="auto"/>
        <w:right w:val="none" w:sz="0" w:space="0" w:color="auto"/>
      </w:divBdr>
    </w:div>
    <w:div w:id="20108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UNCC</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Wyse, Matt</cp:lastModifiedBy>
  <cp:revision>2</cp:revision>
  <cp:lastPrinted>2020-01-09T14:56:00Z</cp:lastPrinted>
  <dcterms:created xsi:type="dcterms:W3CDTF">2020-01-09T14:56:00Z</dcterms:created>
  <dcterms:modified xsi:type="dcterms:W3CDTF">2020-01-09T14:56:00Z</dcterms:modified>
</cp:coreProperties>
</file>