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F2736B3" w:rsidR="00483B05" w:rsidRPr="00EC7E9B" w:rsidRDefault="00EC7E9B" w:rsidP="00704BE9">
      <w:pPr>
        <w:ind w:left="720"/>
        <w:jc w:val="center"/>
        <w:rPr>
          <w:b/>
          <w:bCs/>
        </w:rPr>
      </w:pPr>
      <w:bookmarkStart w:id="0" w:name="_GoBack"/>
      <w:bookmarkEnd w:id="0"/>
      <w:r w:rsidRPr="00EC7E9B">
        <w:rPr>
          <w:b/>
          <w:bCs/>
        </w:rPr>
        <w:t xml:space="preserve">University Policy 318, </w:t>
      </w:r>
      <w:r w:rsidR="00265F62" w:rsidRPr="00EC7E9B">
        <w:rPr>
          <w:b/>
          <w:bCs/>
        </w:rPr>
        <w:t>Authorship Dispute Resolution Policy</w:t>
      </w:r>
    </w:p>
    <w:p w14:paraId="00000003" w14:textId="21EACE4E" w:rsidR="00483B05" w:rsidRDefault="00483B05" w:rsidP="00EC7E9B">
      <w:pPr>
        <w:ind w:left="720"/>
        <w:jc w:val="center"/>
      </w:pPr>
    </w:p>
    <w:p w14:paraId="00000004" w14:textId="77777777" w:rsidR="00483B05" w:rsidRDefault="00483B05">
      <w:pPr>
        <w:ind w:left="720"/>
      </w:pPr>
    </w:p>
    <w:p w14:paraId="00000005" w14:textId="46172E9C" w:rsidR="00483B05" w:rsidRPr="00B72933" w:rsidRDefault="00EC7E9B">
      <w:pPr>
        <w:numPr>
          <w:ilvl w:val="0"/>
          <w:numId w:val="5"/>
        </w:numPr>
        <w:rPr>
          <w:b/>
          <w:bCs/>
        </w:rPr>
      </w:pPr>
      <w:r w:rsidRPr="00B72933">
        <w:rPr>
          <w:b/>
          <w:bCs/>
        </w:rPr>
        <w:t>Policy Statement and Purpose</w:t>
      </w:r>
    </w:p>
    <w:p w14:paraId="00000006" w14:textId="77777777" w:rsidR="00483B05" w:rsidRDefault="00483B05">
      <w:pPr>
        <w:ind w:left="720"/>
      </w:pPr>
    </w:p>
    <w:p w14:paraId="00000008" w14:textId="0B4B7A16" w:rsidR="00483B05" w:rsidRDefault="00265F62" w:rsidP="00F27B75">
      <w:pPr>
        <w:spacing w:after="240"/>
        <w:ind w:left="720"/>
      </w:pPr>
      <w:r>
        <w:t>Research contributes to the public fund of knowledge when the results are published</w:t>
      </w:r>
      <w:r w:rsidR="00503096">
        <w:t>, presented,</w:t>
      </w:r>
      <w:r>
        <w:t xml:space="preserve"> or otherwise disseminated. With that step, researchers take public responsibility for the work. This responsibility includes both credit and accountability, and is typically conveyed by being named an author. </w:t>
      </w:r>
    </w:p>
    <w:p w14:paraId="0000000A" w14:textId="655048ED" w:rsidR="00483B05" w:rsidRDefault="00265F62" w:rsidP="00F27B75">
      <w:pPr>
        <w:spacing w:after="240"/>
        <w:ind w:left="720"/>
      </w:pPr>
      <w:r>
        <w:t xml:space="preserve">However, the role authorship plays in careers, awards, grants, and the like means that the stakes are high, and authorship decisions can evoke tension and conflict among collaborators. This conflict may in turn negatively affect relationships between faculty and students or between collaborators within the institution, across the </w:t>
      </w:r>
      <w:r w:rsidR="00B52C64">
        <w:t xml:space="preserve">country, </w:t>
      </w:r>
      <w:r>
        <w:t>or internationally. Vulnerable groups, such as graduate students, post-doctoral students, junior faculty, or those underrepresented in the academy can be most at risk in such conflicts. In the worst cases, these disputes can end projects or lead to publication retractions. Although many disciplines and journals articulate authorship standards, collaborators may not be aware of them and may even disagree about them (for example, due to different disciplinary authorship practices), leaving authorship assumptions among collaborators largely unstated.</w:t>
      </w:r>
    </w:p>
    <w:p w14:paraId="0000000C" w14:textId="22CA2F42" w:rsidR="00483B05" w:rsidRDefault="00265F62" w:rsidP="00F27B75">
      <w:pPr>
        <w:spacing w:after="240"/>
        <w:ind w:left="720"/>
      </w:pPr>
      <w:r>
        <w:t xml:space="preserve">Because institutions have an interest in and are sometimes responsible for resolving authorship disputes, it is important to establish policy to support good authorship processes and address potential disputes. This </w:t>
      </w:r>
      <w:r w:rsidR="00B52C64">
        <w:t>P</w:t>
      </w:r>
      <w:r>
        <w:t xml:space="preserve">olicy is part of UNC Charlotte’s commitment to fostering a culture of transparency, openness, and research integrity. </w:t>
      </w:r>
      <w:r w:rsidR="00B52C64">
        <w:t>The Policy is intended to</w:t>
      </w:r>
      <w:r>
        <w:t xml:space="preserve"> help reinforce healthy, transparent authorship practices that can prevent disputes, and </w:t>
      </w:r>
      <w:r w:rsidR="00B52C64">
        <w:t xml:space="preserve">to </w:t>
      </w:r>
      <w:r>
        <w:t xml:space="preserve">offer clear processes to resolve them if they occur. </w:t>
      </w:r>
      <w:r w:rsidR="00B52C64">
        <w:t>It includes p</w:t>
      </w:r>
      <w:r>
        <w:t xml:space="preserve">roductive and </w:t>
      </w:r>
      <w:r w:rsidR="00B52C64">
        <w:t xml:space="preserve">historically </w:t>
      </w:r>
      <w:r>
        <w:t xml:space="preserve">successful approaches to co-authorship and </w:t>
      </w:r>
      <w:r w:rsidR="00B52C64">
        <w:t>mediating authorship</w:t>
      </w:r>
      <w:r>
        <w:t xml:space="preserve"> disputes</w:t>
      </w:r>
      <w:r w:rsidR="00B52C64">
        <w:t>.</w:t>
      </w:r>
      <w:r>
        <w:t xml:space="preserve"> </w:t>
      </w:r>
    </w:p>
    <w:p w14:paraId="0000000D" w14:textId="77777777" w:rsidR="00483B05" w:rsidRDefault="00483B05"/>
    <w:p w14:paraId="7DADE9D7" w14:textId="75129B92" w:rsidR="005863B0" w:rsidRPr="00B72933" w:rsidRDefault="005863B0">
      <w:pPr>
        <w:numPr>
          <w:ilvl w:val="0"/>
          <w:numId w:val="5"/>
        </w:numPr>
        <w:rPr>
          <w:b/>
          <w:bCs/>
        </w:rPr>
      </w:pPr>
      <w:r w:rsidRPr="00B72933">
        <w:rPr>
          <w:b/>
          <w:bCs/>
        </w:rPr>
        <w:t>Definitions</w:t>
      </w:r>
    </w:p>
    <w:p w14:paraId="2448E558" w14:textId="3044F496" w:rsidR="005863B0" w:rsidRPr="00AA0DE9" w:rsidRDefault="005863B0" w:rsidP="00F27B75">
      <w:pPr>
        <w:pStyle w:val="ListParagraph"/>
        <w:numPr>
          <w:ilvl w:val="1"/>
          <w:numId w:val="10"/>
        </w:numPr>
        <w:spacing w:after="120"/>
        <w:contextualSpacing w:val="0"/>
        <w:rPr>
          <w:lang w:val="en-US"/>
        </w:rPr>
      </w:pPr>
      <w:r>
        <w:t>Corresponding Author:</w:t>
      </w:r>
      <w:r w:rsidR="00AA0DE9">
        <w:t xml:space="preserve"> </w:t>
      </w:r>
      <w:r w:rsidR="00AA0DE9">
        <w:rPr>
          <w:lang w:val="en-US"/>
        </w:rPr>
        <w:t>I</w:t>
      </w:r>
      <w:r w:rsidR="00AA0DE9" w:rsidRPr="00AA0DE9">
        <w:rPr>
          <w:lang w:val="en-US"/>
        </w:rPr>
        <w:t xml:space="preserve">n cases </w:t>
      </w:r>
      <w:r w:rsidR="007E3334">
        <w:rPr>
          <w:lang w:val="en-US"/>
        </w:rPr>
        <w:t>in which</w:t>
      </w:r>
      <w:r w:rsidR="00AA0DE9" w:rsidRPr="00AA0DE9">
        <w:rPr>
          <w:lang w:val="en-US"/>
        </w:rPr>
        <w:t xml:space="preserve"> a manuscript has been submitted for publication consideration, the </w:t>
      </w:r>
      <w:r w:rsidR="00AA0DE9">
        <w:rPr>
          <w:lang w:val="en-US"/>
        </w:rPr>
        <w:t>C</w:t>
      </w:r>
      <w:r w:rsidR="00AA0DE9" w:rsidRPr="00AA0DE9">
        <w:rPr>
          <w:lang w:val="en-US"/>
        </w:rPr>
        <w:t xml:space="preserve">orresponding </w:t>
      </w:r>
      <w:r w:rsidR="00AA0DE9">
        <w:rPr>
          <w:lang w:val="en-US"/>
        </w:rPr>
        <w:t>A</w:t>
      </w:r>
      <w:r w:rsidR="00AA0DE9" w:rsidRPr="00AA0DE9">
        <w:rPr>
          <w:lang w:val="en-US"/>
        </w:rPr>
        <w:t xml:space="preserve">uthor is the person who identified themselves as responsible for communicating between the </w:t>
      </w:r>
      <w:r w:rsidR="00054233">
        <w:rPr>
          <w:lang w:val="en-US"/>
        </w:rPr>
        <w:t>publisher</w:t>
      </w:r>
      <w:r w:rsidR="00AA0DE9" w:rsidRPr="00AA0DE9">
        <w:rPr>
          <w:lang w:val="en-US"/>
        </w:rPr>
        <w:t xml:space="preserve"> and collaborators on the project.</w:t>
      </w:r>
    </w:p>
    <w:p w14:paraId="236CDDD0" w14:textId="6416CB0E" w:rsidR="005863B0" w:rsidRPr="00AA0DE9" w:rsidRDefault="005863B0" w:rsidP="00F27B75">
      <w:pPr>
        <w:pStyle w:val="ListParagraph"/>
        <w:numPr>
          <w:ilvl w:val="1"/>
          <w:numId w:val="10"/>
        </w:numPr>
        <w:spacing w:after="120"/>
        <w:contextualSpacing w:val="0"/>
        <w:rPr>
          <w:lang w:val="en-US"/>
        </w:rPr>
      </w:pPr>
      <w:r>
        <w:t xml:space="preserve">Lead Author: </w:t>
      </w:r>
      <w:r w:rsidR="007E3334">
        <w:rPr>
          <w:lang w:val="en-US"/>
        </w:rPr>
        <w:t xml:space="preserve">Generally, the designation of an individual as Lead Author </w:t>
      </w:r>
      <w:r w:rsidR="00AA0DE9" w:rsidRPr="00AA0DE9">
        <w:rPr>
          <w:lang w:val="en-US"/>
        </w:rPr>
        <w:t xml:space="preserve">refers to </w:t>
      </w:r>
      <w:r w:rsidR="007E3334">
        <w:rPr>
          <w:lang w:val="en-US"/>
        </w:rPr>
        <w:t>an individual</w:t>
      </w:r>
      <w:r w:rsidR="00AA0DE9" w:rsidRPr="00AA0DE9">
        <w:rPr>
          <w:lang w:val="en-US"/>
        </w:rPr>
        <w:t xml:space="preserve"> who has taken a prominent role in the generation of ideas for and conduct of the research, as well as </w:t>
      </w:r>
      <w:r w:rsidR="007E3334">
        <w:rPr>
          <w:lang w:val="en-US"/>
        </w:rPr>
        <w:t xml:space="preserve">in </w:t>
      </w:r>
      <w:r w:rsidR="00AA0DE9" w:rsidRPr="00AA0DE9">
        <w:rPr>
          <w:lang w:val="en-US"/>
        </w:rPr>
        <w:t>draft</w:t>
      </w:r>
      <w:r w:rsidR="007E3334">
        <w:rPr>
          <w:lang w:val="en-US"/>
        </w:rPr>
        <w:t>ing</w:t>
      </w:r>
      <w:r w:rsidR="00AA0DE9" w:rsidRPr="00AA0DE9">
        <w:rPr>
          <w:lang w:val="en-US"/>
        </w:rPr>
        <w:t xml:space="preserve"> the manuscript in question</w:t>
      </w:r>
      <w:r w:rsidR="00A75F00">
        <w:rPr>
          <w:lang w:val="en-US"/>
        </w:rPr>
        <w:t xml:space="preserve">, but </w:t>
      </w:r>
      <w:r w:rsidR="007E3334">
        <w:rPr>
          <w:lang w:val="en-US"/>
        </w:rPr>
        <w:t xml:space="preserve">the criteria for designation of Lead Author </w:t>
      </w:r>
      <w:r w:rsidR="00A75F00">
        <w:rPr>
          <w:lang w:val="en-US"/>
        </w:rPr>
        <w:t>may vary by discipline</w:t>
      </w:r>
      <w:r w:rsidR="00AA0DE9" w:rsidRPr="00AA0DE9">
        <w:rPr>
          <w:lang w:val="en-US"/>
        </w:rPr>
        <w:t>.</w:t>
      </w:r>
    </w:p>
    <w:p w14:paraId="65E72E97" w14:textId="6DAABF47" w:rsidR="005863B0" w:rsidRPr="00AA0DE9" w:rsidRDefault="005863B0" w:rsidP="00F27B75">
      <w:pPr>
        <w:pStyle w:val="ListParagraph"/>
        <w:numPr>
          <w:ilvl w:val="1"/>
          <w:numId w:val="10"/>
        </w:numPr>
        <w:spacing w:after="120"/>
        <w:contextualSpacing w:val="0"/>
        <w:rPr>
          <w:lang w:val="en-US"/>
        </w:rPr>
      </w:pPr>
      <w:r>
        <w:t>Principal Investigator</w:t>
      </w:r>
      <w:r w:rsidR="007D6F01">
        <w:t xml:space="preserve"> (PI)</w:t>
      </w:r>
      <w:r>
        <w:t>:</w:t>
      </w:r>
      <w:r w:rsidR="00AA0DE9">
        <w:t xml:space="preserve"> </w:t>
      </w:r>
      <w:r w:rsidR="00AA0DE9" w:rsidRPr="00AA0DE9">
        <w:rPr>
          <w:lang w:val="en-US"/>
        </w:rPr>
        <w:t xml:space="preserve">In sponsored research, </w:t>
      </w:r>
      <w:r w:rsidR="007E3334">
        <w:rPr>
          <w:lang w:val="en-US"/>
        </w:rPr>
        <w:t xml:space="preserve">the Principal Investigator is </w:t>
      </w:r>
      <w:r w:rsidR="00A75F00">
        <w:rPr>
          <w:lang w:val="en-US"/>
        </w:rPr>
        <w:t>the individual</w:t>
      </w:r>
      <w:r w:rsidR="00AA0DE9" w:rsidRPr="00AA0DE9">
        <w:rPr>
          <w:lang w:val="en-US"/>
        </w:rPr>
        <w:t xml:space="preserve"> usually </w:t>
      </w:r>
      <w:r w:rsidR="007E3334">
        <w:rPr>
          <w:lang w:val="en-US"/>
        </w:rPr>
        <w:t>identified</w:t>
      </w:r>
      <w:r w:rsidR="00AA0DE9" w:rsidRPr="00AA0DE9">
        <w:rPr>
          <w:lang w:val="en-US"/>
        </w:rPr>
        <w:t xml:space="preserve"> as such on the grant proposal of which the research is a part. However, </w:t>
      </w:r>
      <w:r w:rsidR="007E3334">
        <w:rPr>
          <w:lang w:val="en-US"/>
        </w:rPr>
        <w:t>an individual</w:t>
      </w:r>
      <w:r w:rsidR="00AA0DE9" w:rsidRPr="00AA0DE9">
        <w:rPr>
          <w:lang w:val="en-US"/>
        </w:rPr>
        <w:t xml:space="preserve"> who leads a research project</w:t>
      </w:r>
      <w:r w:rsidR="007E3334">
        <w:rPr>
          <w:lang w:val="en-US"/>
        </w:rPr>
        <w:t xml:space="preserve"> may occasionally </w:t>
      </w:r>
      <w:r w:rsidR="007E3334">
        <w:rPr>
          <w:lang w:val="en-US"/>
        </w:rPr>
        <w:lastRenderedPageBreak/>
        <w:t>be identified as a Principal Investigator</w:t>
      </w:r>
      <w:r w:rsidR="00AA0DE9" w:rsidRPr="00AA0DE9">
        <w:rPr>
          <w:lang w:val="en-US"/>
        </w:rPr>
        <w:t xml:space="preserve"> even if </w:t>
      </w:r>
      <w:r w:rsidR="007E3334">
        <w:rPr>
          <w:lang w:val="en-US"/>
        </w:rPr>
        <w:t>the research project</w:t>
      </w:r>
      <w:r w:rsidR="00AA0DE9" w:rsidRPr="00AA0DE9">
        <w:rPr>
          <w:lang w:val="en-US"/>
        </w:rPr>
        <w:t xml:space="preserve"> is not sponsored by external funding.</w:t>
      </w:r>
    </w:p>
    <w:p w14:paraId="4E41BE66" w14:textId="77777777" w:rsidR="005863B0" w:rsidRDefault="005863B0" w:rsidP="005863B0">
      <w:pPr>
        <w:ind w:left="720"/>
      </w:pPr>
    </w:p>
    <w:p w14:paraId="0000000E" w14:textId="7E96E3CB" w:rsidR="00483B05" w:rsidRPr="00B72933" w:rsidRDefault="00265F62">
      <w:pPr>
        <w:numPr>
          <w:ilvl w:val="0"/>
          <w:numId w:val="5"/>
        </w:numPr>
        <w:rPr>
          <w:b/>
          <w:bCs/>
        </w:rPr>
      </w:pPr>
      <w:r w:rsidRPr="00B72933">
        <w:rPr>
          <w:b/>
          <w:bCs/>
        </w:rPr>
        <w:t>Scope</w:t>
      </w:r>
      <w:r w:rsidR="00EC7E9B" w:rsidRPr="00B72933">
        <w:rPr>
          <w:b/>
          <w:bCs/>
        </w:rPr>
        <w:t xml:space="preserve"> and Applicability</w:t>
      </w:r>
    </w:p>
    <w:p w14:paraId="0000000F" w14:textId="77777777" w:rsidR="00483B05" w:rsidRDefault="00483B05">
      <w:pPr>
        <w:ind w:left="720"/>
      </w:pPr>
    </w:p>
    <w:p w14:paraId="00000011" w14:textId="18B2F6A6" w:rsidR="00483B05" w:rsidRDefault="00265F62" w:rsidP="00F27B75">
      <w:pPr>
        <w:spacing w:after="240"/>
        <w:ind w:left="720"/>
      </w:pPr>
      <w:r>
        <w:t xml:space="preserve">This </w:t>
      </w:r>
      <w:r w:rsidR="00EF7B66">
        <w:t>P</w:t>
      </w:r>
      <w:r>
        <w:t xml:space="preserve">olicy </w:t>
      </w:r>
      <w:r w:rsidR="00EF7B66">
        <w:t xml:space="preserve">applies to UNC Charlotte </w:t>
      </w:r>
      <w:r>
        <w:t>faculty</w:t>
      </w:r>
      <w:r w:rsidR="00284DF2">
        <w:t xml:space="preserve"> (as defined in </w:t>
      </w:r>
      <w:hyperlink r:id="rId7" w:anchor="s15" w:history="1">
        <w:r w:rsidR="00284DF2" w:rsidRPr="00284DF2">
          <w:rPr>
            <w:rStyle w:val="Hyperlink"/>
          </w:rPr>
          <w:t>University Policy 102.13, Tenure Policies, Regulations, and Procedures</w:t>
        </w:r>
      </w:hyperlink>
      <w:r w:rsidR="00284DF2">
        <w:t>)</w:t>
      </w:r>
      <w:r>
        <w:t xml:space="preserve">, staff, and students conducting research, scholarship, or other creative </w:t>
      </w:r>
      <w:r w:rsidR="00EF7B66">
        <w:t xml:space="preserve">academic </w:t>
      </w:r>
      <w:r>
        <w:t xml:space="preserve">activity </w:t>
      </w:r>
      <w:r w:rsidR="001F7E02">
        <w:t xml:space="preserve">as part of their employment or enrollment </w:t>
      </w:r>
      <w:r>
        <w:t xml:space="preserve">at UNC Charlotte, as well as potential disputes between individuals </w:t>
      </w:r>
      <w:r w:rsidR="00EF7B66">
        <w:t>in these categories</w:t>
      </w:r>
      <w:r w:rsidR="00503096">
        <w:t xml:space="preserve"> (e.g., faculty/student or faculty/faculty collaborations)</w:t>
      </w:r>
      <w:r>
        <w:t>.</w:t>
      </w:r>
      <w:r w:rsidR="002F73F2">
        <w:t xml:space="preserve"> Authorship disputes covered by this Policy include disputes that occur pre- and post-publication.</w:t>
      </w:r>
    </w:p>
    <w:p w14:paraId="63BFC3BC" w14:textId="5A3074E4" w:rsidR="00286130" w:rsidRDefault="00265F62" w:rsidP="00F27B75">
      <w:pPr>
        <w:spacing w:after="240"/>
        <w:ind w:left="720"/>
        <w:rPr>
          <w:lang w:val="en-US"/>
        </w:rPr>
      </w:pPr>
      <w:r>
        <w:t xml:space="preserve">This </w:t>
      </w:r>
      <w:r w:rsidR="001F7E02">
        <w:t>P</w:t>
      </w:r>
      <w:r>
        <w:t xml:space="preserve">olicy is distinct from </w:t>
      </w:r>
      <w:hyperlink r:id="rId8" w:history="1">
        <w:r w:rsidRPr="00CF70C4">
          <w:rPr>
            <w:rStyle w:val="Hyperlink"/>
          </w:rPr>
          <w:t>University Policy 309, Responding to Allegations of Misconduct in Research and Scholarship</w:t>
        </w:r>
      </w:hyperlink>
      <w:r w:rsidR="00CC5EA1">
        <w:rPr>
          <w:lang w:val="en-US"/>
        </w:rPr>
        <w:t xml:space="preserve">. Prior to initiating </w:t>
      </w:r>
      <w:r w:rsidR="00CF70C4">
        <w:rPr>
          <w:lang w:val="en-US"/>
        </w:rPr>
        <w:t>an authorship dispute process under this Policy</w:t>
      </w:r>
      <w:r w:rsidR="00CF70C4" w:rsidRPr="001F7E02">
        <w:rPr>
          <w:lang w:val="en-US"/>
        </w:rPr>
        <w:t xml:space="preserve"> in which </w:t>
      </w:r>
      <w:r w:rsidR="001F7E02" w:rsidRPr="001F7E02">
        <w:rPr>
          <w:lang w:val="en-US"/>
        </w:rPr>
        <w:t>research integrity might be implicated, the Research Integrity Officer and the</w:t>
      </w:r>
      <w:r w:rsidR="00C66DA2">
        <w:rPr>
          <w:lang w:val="en-US"/>
        </w:rPr>
        <w:t xml:space="preserve"> Dean of the Graduate School </w:t>
      </w:r>
      <w:r w:rsidR="001F7E02" w:rsidRPr="001F7E02">
        <w:rPr>
          <w:lang w:val="en-US"/>
        </w:rPr>
        <w:t xml:space="preserve">should discuss the case </w:t>
      </w:r>
      <w:r w:rsidR="00B12E94">
        <w:rPr>
          <w:lang w:val="en-US"/>
        </w:rPr>
        <w:t>to</w:t>
      </w:r>
      <w:r w:rsidR="001F7E02" w:rsidRPr="001F7E02">
        <w:rPr>
          <w:lang w:val="en-US"/>
        </w:rPr>
        <w:t xml:space="preserve"> make a determination about the appropriate process to be applied. </w:t>
      </w:r>
    </w:p>
    <w:p w14:paraId="00000014" w14:textId="0824D1F5" w:rsidR="00483B05" w:rsidRPr="00060DD3" w:rsidRDefault="00B12E94" w:rsidP="00060DD3">
      <w:pPr>
        <w:spacing w:after="240"/>
        <w:ind w:left="720"/>
        <w:rPr>
          <w:lang w:val="en-US"/>
        </w:rPr>
      </w:pPr>
      <w:r>
        <w:rPr>
          <w:lang w:val="en-US"/>
        </w:rPr>
        <w:t xml:space="preserve">This Policy is also distinct from </w:t>
      </w:r>
      <w:hyperlink r:id="rId9" w:history="1">
        <w:r w:rsidRPr="00B12E94">
          <w:rPr>
            <w:rStyle w:val="Hyperlink"/>
            <w:lang w:val="en-US"/>
          </w:rPr>
          <w:t>University Policy 407, Code of Student Academic Integrity</w:t>
        </w:r>
      </w:hyperlink>
      <w:r>
        <w:rPr>
          <w:lang w:val="en-US"/>
        </w:rPr>
        <w:t xml:space="preserve">. </w:t>
      </w:r>
      <w:r w:rsidR="00CC5EA1">
        <w:rPr>
          <w:lang w:val="en-US"/>
        </w:rPr>
        <w:t xml:space="preserve">Prior to initiating </w:t>
      </w:r>
      <w:r w:rsidR="00CF70C4">
        <w:rPr>
          <w:lang w:val="en-US"/>
        </w:rPr>
        <w:t>an authorship dispute process under this Policy</w:t>
      </w:r>
      <w:r w:rsidR="00CF70C4" w:rsidRPr="001F7E02">
        <w:rPr>
          <w:lang w:val="en-US"/>
        </w:rPr>
        <w:t xml:space="preserve"> in which</w:t>
      </w:r>
      <w:r w:rsidR="00CF70C4">
        <w:rPr>
          <w:lang w:val="en-US"/>
        </w:rPr>
        <w:t xml:space="preserve"> </w:t>
      </w:r>
      <w:r w:rsidR="00286130">
        <w:rPr>
          <w:lang w:val="en-US"/>
        </w:rPr>
        <w:t>student academic</w:t>
      </w:r>
      <w:r w:rsidR="00286130" w:rsidRPr="001F7E02">
        <w:rPr>
          <w:lang w:val="en-US"/>
        </w:rPr>
        <w:t xml:space="preserve"> integrity</w:t>
      </w:r>
      <w:r w:rsidR="00CF70C4">
        <w:rPr>
          <w:lang w:val="en-US"/>
        </w:rPr>
        <w:t xml:space="preserve"> is an issue,</w:t>
      </w:r>
      <w:r w:rsidR="00286130" w:rsidRPr="001F7E02">
        <w:rPr>
          <w:lang w:val="en-US"/>
        </w:rPr>
        <w:t xml:space="preserve"> </w:t>
      </w:r>
      <w:r w:rsidR="00C63EFD">
        <w:rPr>
          <w:lang w:val="en-US"/>
        </w:rPr>
        <w:t>the</w:t>
      </w:r>
      <w:r>
        <w:rPr>
          <w:lang w:val="en-US"/>
        </w:rPr>
        <w:t xml:space="preserve"> </w:t>
      </w:r>
      <w:r w:rsidR="00C66DA2">
        <w:rPr>
          <w:lang w:val="en-US"/>
        </w:rPr>
        <w:t xml:space="preserve">Dean of the Graduate School </w:t>
      </w:r>
      <w:r w:rsidR="00286130" w:rsidRPr="001F7E02">
        <w:rPr>
          <w:lang w:val="en-US"/>
        </w:rPr>
        <w:t xml:space="preserve">should discuss the case </w:t>
      </w:r>
      <w:r w:rsidR="00C63EFD">
        <w:rPr>
          <w:lang w:val="en-US"/>
        </w:rPr>
        <w:t xml:space="preserve">with the Director of Student Conduct and Academic Integrity </w:t>
      </w:r>
      <w:r>
        <w:rPr>
          <w:lang w:val="en-US"/>
        </w:rPr>
        <w:t>to</w:t>
      </w:r>
      <w:r w:rsidRPr="001F7E02">
        <w:rPr>
          <w:lang w:val="en-US"/>
        </w:rPr>
        <w:t xml:space="preserve"> make a determination about the appropriate process to be applied</w:t>
      </w:r>
      <w:r w:rsidR="00286130" w:rsidRPr="001F7E02">
        <w:rPr>
          <w:lang w:val="en-US"/>
        </w:rPr>
        <w:t xml:space="preserve">. </w:t>
      </w:r>
      <w:r w:rsidR="00265F62">
        <w:t xml:space="preserve"> </w:t>
      </w:r>
    </w:p>
    <w:p w14:paraId="00000015" w14:textId="52C1C4AE" w:rsidR="00483B05" w:rsidRPr="00B72933" w:rsidRDefault="00EC7E9B">
      <w:pPr>
        <w:numPr>
          <w:ilvl w:val="0"/>
          <w:numId w:val="5"/>
        </w:numPr>
        <w:rPr>
          <w:b/>
          <w:bCs/>
        </w:rPr>
      </w:pPr>
      <w:r w:rsidRPr="00B72933">
        <w:rPr>
          <w:b/>
          <w:bCs/>
        </w:rPr>
        <w:t>Policy</w:t>
      </w:r>
    </w:p>
    <w:p w14:paraId="00000016" w14:textId="77777777" w:rsidR="00483B05" w:rsidRDefault="00483B05">
      <w:pPr>
        <w:ind w:left="720"/>
      </w:pPr>
    </w:p>
    <w:p w14:paraId="00000017" w14:textId="079760A0" w:rsidR="00483B05" w:rsidRDefault="00265F62">
      <w:pPr>
        <w:ind w:left="720"/>
      </w:pPr>
      <w:r>
        <w:t xml:space="preserve">This </w:t>
      </w:r>
      <w:r w:rsidR="0070761E">
        <w:t>P</w:t>
      </w:r>
      <w:r>
        <w:t xml:space="preserve">olicy recognizes the wide variety of authorship practices across disciplines and publications, so it is not the intent of this </w:t>
      </w:r>
      <w:r w:rsidR="0070761E">
        <w:t>P</w:t>
      </w:r>
      <w:r>
        <w:t xml:space="preserve">olicy to </w:t>
      </w:r>
      <w:r w:rsidR="00B25632">
        <w:t xml:space="preserve">establish </w:t>
      </w:r>
      <w:r>
        <w:t xml:space="preserve">a single set of authorship standards. However, as summarized by the </w:t>
      </w:r>
      <w:hyperlink r:id="rId10" w:history="1">
        <w:r w:rsidRPr="005863B0">
          <w:rPr>
            <w:rStyle w:val="Hyperlink"/>
          </w:rPr>
          <w:t>Committee on Publication Ethics (COPE)</w:t>
        </w:r>
      </w:hyperlink>
      <w:r>
        <w:t>, “The minimum requirements for authorship, common to all definitions, are 1) substantial contribution to the work and 2) accountability for the work that was done and its presentation in a publication</w:t>
      </w:r>
      <w:r w:rsidR="005863B0">
        <w:t>.</w:t>
      </w:r>
      <w:r>
        <w:t xml:space="preserve">” </w:t>
      </w:r>
    </w:p>
    <w:p w14:paraId="00000018" w14:textId="77777777" w:rsidR="00483B05" w:rsidRDefault="00483B05">
      <w:pPr>
        <w:ind w:left="720"/>
      </w:pPr>
    </w:p>
    <w:p w14:paraId="00000019" w14:textId="77777777" w:rsidR="00483B05" w:rsidRDefault="00265F62">
      <w:pPr>
        <w:ind w:left="720"/>
      </w:pPr>
      <w:r>
        <w:t>The following principles and practices are recommended for helping to prevent disputes and promoting constructive and transparent authorship practices.</w:t>
      </w:r>
    </w:p>
    <w:p w14:paraId="0000001A" w14:textId="77777777" w:rsidR="00483B05" w:rsidRDefault="00483B05">
      <w:pPr>
        <w:ind w:left="720"/>
      </w:pPr>
    </w:p>
    <w:p w14:paraId="0000001B" w14:textId="77777777" w:rsidR="00483B05" w:rsidRPr="00B72933" w:rsidRDefault="00265F62">
      <w:pPr>
        <w:numPr>
          <w:ilvl w:val="0"/>
          <w:numId w:val="2"/>
        </w:numPr>
        <w:rPr>
          <w:b/>
          <w:bCs/>
        </w:rPr>
      </w:pPr>
      <w:r w:rsidRPr="00B72933">
        <w:rPr>
          <w:b/>
          <w:bCs/>
        </w:rPr>
        <w:t>Authorship Principles</w:t>
      </w:r>
    </w:p>
    <w:p w14:paraId="0000001C" w14:textId="77777777" w:rsidR="00483B05" w:rsidRDefault="00483B05">
      <w:pPr>
        <w:ind w:left="720"/>
      </w:pPr>
    </w:p>
    <w:p w14:paraId="0000001D" w14:textId="55628B94" w:rsidR="00483B05" w:rsidRDefault="00265F62" w:rsidP="00AE7AE3">
      <w:pPr>
        <w:numPr>
          <w:ilvl w:val="0"/>
          <w:numId w:val="4"/>
        </w:numPr>
        <w:spacing w:after="120"/>
      </w:pPr>
      <w:r>
        <w:t xml:space="preserve">It is the responsibility of the Lead Author, Corresponding Author, or Principal Investigator (these may </w:t>
      </w:r>
      <w:r w:rsidR="00503096">
        <w:t xml:space="preserve">or may not </w:t>
      </w:r>
      <w:r>
        <w:t>be the same person)</w:t>
      </w:r>
      <w:r w:rsidR="00503096">
        <w:t>, as appropriate,</w:t>
      </w:r>
      <w:r>
        <w:t xml:space="preserve"> to lead conversations </w:t>
      </w:r>
      <w:r w:rsidR="00137675">
        <w:t xml:space="preserve">among contributors </w:t>
      </w:r>
      <w:r>
        <w:t>regarding authorship, ensure that contributors are appropriately recognized, and ensure fairness in the authorship process. Ideally these conversations occur at the beginning of projects, throughout the project duration</w:t>
      </w:r>
      <w:r w:rsidR="00137675">
        <w:t>,</w:t>
      </w:r>
      <w:r>
        <w:t xml:space="preserve"> and at the conclusion of the project.</w:t>
      </w:r>
    </w:p>
    <w:p w14:paraId="0000001E" w14:textId="7F791619" w:rsidR="00483B05" w:rsidRDefault="00265F62" w:rsidP="00AE7AE3">
      <w:pPr>
        <w:numPr>
          <w:ilvl w:val="0"/>
          <w:numId w:val="4"/>
        </w:numPr>
        <w:spacing w:after="120"/>
      </w:pPr>
      <w:r>
        <w:lastRenderedPageBreak/>
        <w:t xml:space="preserve">Being named an author is an indication that one has made a substantial contribution to the project and is willing to be held accountable for their contribution to the work. </w:t>
      </w:r>
      <w:r w:rsidR="00503096">
        <w:t>“S</w:t>
      </w:r>
      <w:r>
        <w:t xml:space="preserve">ubstantial </w:t>
      </w:r>
      <w:r w:rsidR="000D19BF">
        <w:t>c</w:t>
      </w:r>
      <w:r>
        <w:t>ontribution</w:t>
      </w:r>
      <w:r w:rsidR="00503096">
        <w:t>”</w:t>
      </w:r>
      <w:r>
        <w:t xml:space="preserve"> may vary by discipline</w:t>
      </w:r>
      <w:r w:rsidR="000D19BF">
        <w:t xml:space="preserve">, </w:t>
      </w:r>
      <w:r w:rsidR="004736EA">
        <w:t>and therefore the Lead Author, Corresponding Author, or Principal Investigator should consult the guidance that applies to their discipline to make authorship determinations</w:t>
      </w:r>
      <w:r w:rsidR="000D19BF">
        <w:t>.</w:t>
      </w:r>
      <w:r w:rsidR="000D19BF" w:rsidDel="000D19BF">
        <w:t xml:space="preserve"> </w:t>
      </w:r>
    </w:p>
    <w:p w14:paraId="0000001F" w14:textId="5F214C96" w:rsidR="00483B05" w:rsidRDefault="00265F62" w:rsidP="00AE7AE3">
      <w:pPr>
        <w:numPr>
          <w:ilvl w:val="0"/>
          <w:numId w:val="4"/>
        </w:numPr>
        <w:spacing w:after="120"/>
      </w:pPr>
      <w:r>
        <w:t xml:space="preserve">All individuals who have made a </w:t>
      </w:r>
      <w:r w:rsidR="004736EA">
        <w:t>s</w:t>
      </w:r>
      <w:r>
        <w:t xml:space="preserve">ubstantial </w:t>
      </w:r>
      <w:r w:rsidR="004736EA">
        <w:t>i</w:t>
      </w:r>
      <w:r>
        <w:t xml:space="preserve">ntellectual </w:t>
      </w:r>
      <w:r w:rsidR="004736EA">
        <w:t>c</w:t>
      </w:r>
      <w:r>
        <w:t>ontribution to a project should be named as authors; others who have contributed may be more appropriately recognized in the acknowledgements, footnotes</w:t>
      </w:r>
      <w:r w:rsidR="004736EA">
        <w:t>,</w:t>
      </w:r>
      <w:r>
        <w:t xml:space="preserve"> or other areas of the work as appropriate</w:t>
      </w:r>
      <w:r w:rsidR="004736EA">
        <w:t xml:space="preserve"> and subject to the individuals’ consent</w:t>
      </w:r>
      <w:r>
        <w:t>.</w:t>
      </w:r>
      <w:r w:rsidR="004736EA">
        <w:t xml:space="preserve"> </w:t>
      </w:r>
    </w:p>
    <w:p w14:paraId="00000020" w14:textId="51111444" w:rsidR="00483B05" w:rsidRDefault="00265F62" w:rsidP="00AE7AE3">
      <w:pPr>
        <w:numPr>
          <w:ilvl w:val="0"/>
          <w:numId w:val="4"/>
        </w:numPr>
        <w:spacing w:after="120"/>
      </w:pPr>
      <w:r>
        <w:t xml:space="preserve">All authors on a publication should have </w:t>
      </w:r>
      <w:r w:rsidR="00A22E31">
        <w:t xml:space="preserve">a reasonable </w:t>
      </w:r>
      <w:r>
        <w:t>opportunity to review and approve the final product.</w:t>
      </w:r>
      <w:r w:rsidR="00A22E31">
        <w:t xml:space="preserve"> </w:t>
      </w:r>
      <w:r w:rsidR="003B3947">
        <w:t>However, a</w:t>
      </w:r>
      <w:r w:rsidR="00A22E31">
        <w:t>pproval shall not be unreasonably withheld.</w:t>
      </w:r>
    </w:p>
    <w:p w14:paraId="00000021" w14:textId="77777777" w:rsidR="00483B05" w:rsidRDefault="00265F62" w:rsidP="00AE7AE3">
      <w:pPr>
        <w:numPr>
          <w:ilvl w:val="0"/>
          <w:numId w:val="4"/>
        </w:numPr>
        <w:spacing w:after="120"/>
      </w:pPr>
      <w:r>
        <w:t>Honorary, guest, gift, or ghost authorship is not acceptable. Honorary, guest, or gift authorship occurs when individuals who have not made a substantial contribution are named as authors. Ghost authorship occurs when someone who has made a substantial contribution is not named, usually to conceal their relationship to the product.</w:t>
      </w:r>
    </w:p>
    <w:p w14:paraId="00000023" w14:textId="50BD7F8D" w:rsidR="00483B05" w:rsidRDefault="00265F62" w:rsidP="00060DD3">
      <w:pPr>
        <w:numPr>
          <w:ilvl w:val="0"/>
          <w:numId w:val="4"/>
        </w:numPr>
        <w:spacing w:after="240"/>
      </w:pPr>
      <w:r>
        <w:t>Authorship ordering conventions vary by discipline and publication format</w:t>
      </w:r>
      <w:r w:rsidR="00137675">
        <w:t>;</w:t>
      </w:r>
      <w:r>
        <w:t xml:space="preserve"> it is not within the scope of this </w:t>
      </w:r>
      <w:r w:rsidR="00137675">
        <w:t>P</w:t>
      </w:r>
      <w:r>
        <w:t xml:space="preserve">olicy to </w:t>
      </w:r>
      <w:r w:rsidR="00137675">
        <w:t>specify</w:t>
      </w:r>
      <w:r>
        <w:t xml:space="preserve"> ordering practices. However, ordering decisions should be made in the context of healthy authorship conversations. </w:t>
      </w:r>
    </w:p>
    <w:p w14:paraId="10D333B8" w14:textId="67D3E156" w:rsidR="00381294" w:rsidRPr="00893ABF" w:rsidRDefault="00381294" w:rsidP="00893ABF">
      <w:pPr>
        <w:pStyle w:val="ListParagraph"/>
        <w:numPr>
          <w:ilvl w:val="0"/>
          <w:numId w:val="4"/>
        </w:numPr>
        <w:spacing w:after="240" w:line="240" w:lineRule="auto"/>
        <w:rPr>
          <w:rFonts w:ascii="Times New Roman" w:eastAsia="Times New Roman" w:hAnsi="Times New Roman" w:cs="Times New Roman"/>
          <w:lang w:val="en-US"/>
        </w:rPr>
      </w:pPr>
      <w:r w:rsidRPr="0008233B">
        <w:rPr>
          <w:rFonts w:eastAsia="Times New Roman"/>
          <w:color w:val="222222"/>
          <w:shd w:val="clear" w:color="auto" w:fill="FFFFFF"/>
          <w:lang w:val="en-US"/>
        </w:rPr>
        <w:t>Authorship practices regarding theses or dissertations may vary by discipline. However, it is generally expected that </w:t>
      </w:r>
      <w:r w:rsidR="00297487" w:rsidRPr="0008233B">
        <w:rPr>
          <w:rFonts w:eastAsia="Times New Roman"/>
          <w:color w:val="222222"/>
          <w:shd w:val="clear" w:color="auto" w:fill="FFFFFF"/>
          <w:lang w:val="en-US"/>
        </w:rPr>
        <w:t xml:space="preserve">in </w:t>
      </w:r>
      <w:r w:rsidRPr="0008233B">
        <w:rPr>
          <w:rFonts w:eastAsia="Times New Roman"/>
          <w:color w:val="222222"/>
          <w:shd w:val="clear" w:color="auto" w:fill="FFFFFF"/>
          <w:lang w:val="en-US"/>
        </w:rPr>
        <w:t>publications resulting from a thesis</w:t>
      </w:r>
      <w:r w:rsidR="00297487" w:rsidRPr="0008233B">
        <w:rPr>
          <w:rFonts w:eastAsia="Times New Roman"/>
          <w:color w:val="222222"/>
          <w:shd w:val="clear" w:color="auto" w:fill="FFFFFF"/>
          <w:lang w:val="en-US"/>
        </w:rPr>
        <w:t xml:space="preserve">, </w:t>
      </w:r>
      <w:r w:rsidRPr="0008233B">
        <w:rPr>
          <w:rFonts w:eastAsia="Times New Roman"/>
          <w:color w:val="222222"/>
          <w:shd w:val="clear" w:color="auto" w:fill="FFFFFF"/>
          <w:lang w:val="en-US"/>
        </w:rPr>
        <w:t>dissertation</w:t>
      </w:r>
      <w:r w:rsidR="00297487" w:rsidRPr="0008233B">
        <w:rPr>
          <w:rFonts w:eastAsia="Times New Roman"/>
          <w:color w:val="222222"/>
          <w:shd w:val="clear" w:color="auto" w:fill="FFFFFF"/>
          <w:lang w:val="en-US"/>
        </w:rPr>
        <w:t>, or capstone, the student will be the first author. Faculty members and others on thesis and dissertation committees may be included as authors when they meet typical authorship criteria, but mere membership on these committees may not suffice for authorship. Student work should be protected from</w:t>
      </w:r>
      <w:r w:rsidR="003B3947" w:rsidRPr="0008233B">
        <w:rPr>
          <w:rFonts w:eastAsia="Times New Roman"/>
          <w:color w:val="222222"/>
          <w:shd w:val="clear" w:color="auto" w:fill="FFFFFF"/>
          <w:lang w:val="en-US"/>
        </w:rPr>
        <w:t xml:space="preserve"> </w:t>
      </w:r>
      <w:r w:rsidR="0008233B" w:rsidRPr="0008233B">
        <w:rPr>
          <w:rFonts w:eastAsia="Times New Roman"/>
          <w:color w:val="222222"/>
          <w:shd w:val="clear" w:color="auto" w:fill="FFFFFF"/>
          <w:lang w:val="en-US"/>
        </w:rPr>
        <w:t xml:space="preserve">expectations that violate </w:t>
      </w:r>
      <w:r w:rsidR="0008233B">
        <w:rPr>
          <w:rFonts w:eastAsia="Times New Roman"/>
          <w:color w:val="222222"/>
          <w:shd w:val="clear" w:color="auto" w:fill="FFFFFF"/>
          <w:lang w:val="en-US"/>
        </w:rPr>
        <w:t>Section</w:t>
      </w:r>
      <w:r w:rsidR="0008233B" w:rsidRPr="0008233B">
        <w:rPr>
          <w:rFonts w:eastAsia="Times New Roman"/>
          <w:color w:val="222222"/>
          <w:shd w:val="clear" w:color="auto" w:fill="FFFFFF"/>
          <w:lang w:val="en-US"/>
        </w:rPr>
        <w:t xml:space="preserve"> IV.A.5 above</w:t>
      </w:r>
      <w:r w:rsidR="0008233B">
        <w:rPr>
          <w:rFonts w:eastAsia="Times New Roman"/>
          <w:color w:val="222222"/>
          <w:shd w:val="clear" w:color="auto" w:fill="FFFFFF"/>
          <w:lang w:val="en-US"/>
        </w:rPr>
        <w:t>.</w:t>
      </w:r>
    </w:p>
    <w:p w14:paraId="00000024" w14:textId="04D7BE61" w:rsidR="00483B05" w:rsidRPr="00B72933" w:rsidRDefault="00265F62">
      <w:pPr>
        <w:ind w:left="720"/>
        <w:rPr>
          <w:b/>
          <w:bCs/>
        </w:rPr>
      </w:pPr>
      <w:r w:rsidRPr="00B72933">
        <w:rPr>
          <w:b/>
          <w:bCs/>
        </w:rPr>
        <w:t xml:space="preserve">B. </w:t>
      </w:r>
      <w:r w:rsidR="00A22539">
        <w:rPr>
          <w:b/>
          <w:bCs/>
        </w:rPr>
        <w:t>Constructive</w:t>
      </w:r>
      <w:r w:rsidR="003B3947">
        <w:rPr>
          <w:b/>
          <w:bCs/>
        </w:rPr>
        <w:t xml:space="preserve"> </w:t>
      </w:r>
      <w:r w:rsidRPr="00B72933">
        <w:rPr>
          <w:b/>
          <w:bCs/>
        </w:rPr>
        <w:t>Authorship</w:t>
      </w:r>
      <w:r w:rsidR="008508FA" w:rsidRPr="00B72933">
        <w:rPr>
          <w:b/>
          <w:bCs/>
        </w:rPr>
        <w:t xml:space="preserve"> </w:t>
      </w:r>
      <w:r w:rsidRPr="00B72933">
        <w:rPr>
          <w:b/>
          <w:bCs/>
        </w:rPr>
        <w:t xml:space="preserve">Practices  </w:t>
      </w:r>
    </w:p>
    <w:p w14:paraId="02B19B62" w14:textId="58317A89" w:rsidR="008508FA" w:rsidRDefault="008508FA" w:rsidP="00AE7AE3">
      <w:pPr>
        <w:spacing w:after="120"/>
        <w:ind w:left="720"/>
      </w:pPr>
      <w:r>
        <w:t xml:space="preserve">The following </w:t>
      </w:r>
      <w:r w:rsidR="007D6F01">
        <w:t xml:space="preserve">are examples of </w:t>
      </w:r>
      <w:r w:rsidR="00A22539">
        <w:t>constructive</w:t>
      </w:r>
      <w:r w:rsidR="003B3947">
        <w:t xml:space="preserve"> authorship </w:t>
      </w:r>
      <w:r w:rsidR="007D6F01">
        <w:t>practices by UNC Charlotte faculty, staff, and students:</w:t>
      </w:r>
    </w:p>
    <w:p w14:paraId="00000025" w14:textId="38D13F9C" w:rsidR="00483B05" w:rsidRDefault="00265F62" w:rsidP="00AE7AE3">
      <w:pPr>
        <w:numPr>
          <w:ilvl w:val="0"/>
          <w:numId w:val="1"/>
        </w:numPr>
        <w:spacing w:after="120"/>
      </w:pPr>
      <w:r>
        <w:t>As soon as possible in a research collaboration, conversations</w:t>
      </w:r>
      <w:r w:rsidR="0034755B">
        <w:t xml:space="preserve"> among the </w:t>
      </w:r>
      <w:r w:rsidR="003B3947">
        <w:t xml:space="preserve">collaborators </w:t>
      </w:r>
      <w:r>
        <w:t>about authorship should be initiated by the PI or intended Lead/Corresponding Author</w:t>
      </w:r>
      <w:r w:rsidR="003B3947">
        <w:t>, as appropriate</w:t>
      </w:r>
      <w:r>
        <w:t>. This should include a discussion of general expectations for various roles even if the exact authorship order is not yet clear or may change.</w:t>
      </w:r>
      <w:r w:rsidR="003B3947">
        <w:t xml:space="preserve"> In cases of theses and dissertations, the Chair of the Committee should facilitate authorship discussions with the student, starting during the proposal stage and continuing, as appropriate, throughout the process.</w:t>
      </w:r>
    </w:p>
    <w:p w14:paraId="00000026" w14:textId="5F7ED937" w:rsidR="00483B05" w:rsidRDefault="00265F62" w:rsidP="00AE7AE3">
      <w:pPr>
        <w:numPr>
          <w:ilvl w:val="0"/>
          <w:numId w:val="1"/>
        </w:numPr>
        <w:spacing w:after="120"/>
      </w:pPr>
      <w:r>
        <w:t xml:space="preserve">Agreements about authorship order should be transparent, and ideally, a written authorship agreement should be developed and shared with all collaborators. (An </w:t>
      </w:r>
      <w:r>
        <w:lastRenderedPageBreak/>
        <w:t xml:space="preserve">example can be found at </w:t>
      </w:r>
      <w:commentRangeStart w:id="1"/>
      <w:r w:rsidRPr="0034755B">
        <w:t>[insert UNCC web address]</w:t>
      </w:r>
      <w:commentRangeEnd w:id="1"/>
      <w:r w:rsidR="0034755B">
        <w:rPr>
          <w:rStyle w:val="CommentReference"/>
        </w:rPr>
        <w:commentReference w:id="1"/>
      </w:r>
      <w:r>
        <w:t xml:space="preserve">; creating a project on the Open Science Framework may also provide an opportunity to initiate authorship discussions as collaborators are named and listed in an initial order.) Important elements of such an agreement include proposed authorship order, authorship standards collaborators agree to follow, and indications regarding when authorship changes should be discussed. This </w:t>
      </w:r>
      <w:r w:rsidR="00CB14E0">
        <w:t>P</w:t>
      </w:r>
      <w:r>
        <w:t xml:space="preserve">olicy, </w:t>
      </w:r>
      <w:r w:rsidR="00CB14E0">
        <w:t>including</w:t>
      </w:r>
      <w:r w:rsidR="0034755B">
        <w:t xml:space="preserve"> reference to</w:t>
      </w:r>
      <w:r>
        <w:t xml:space="preserve"> the dispute resolution process below, should also be included as an appendix to the agreement.</w:t>
      </w:r>
    </w:p>
    <w:p w14:paraId="00000027" w14:textId="507F4082" w:rsidR="00483B05" w:rsidRPr="00581F58" w:rsidRDefault="00265F62" w:rsidP="00581F58">
      <w:pPr>
        <w:numPr>
          <w:ilvl w:val="0"/>
          <w:numId w:val="1"/>
        </w:numPr>
        <w:spacing w:after="120"/>
        <w:rPr>
          <w:lang w:val="en-US"/>
        </w:rPr>
      </w:pPr>
      <w:r>
        <w:t>Because research roles can change throughout the lifecycle of a collaboration, it is important to revisit authorship agreements as circumstances warrant.</w:t>
      </w:r>
      <w:r w:rsidR="00581F58">
        <w:t xml:space="preserve"> </w:t>
      </w:r>
      <w:r w:rsidR="00581F58" w:rsidRPr="00581F58">
        <w:rPr>
          <w:lang w:val="en-US"/>
        </w:rPr>
        <w:t>For example, authors may want to agree that after a specified period of time, a subset of collaborators may proceed with dissemination of results even if one or more collaborators fails to respond to a request for approval as to relevant elements of the dissemination (authorship order, manuscript text, publication selection, etc.).</w:t>
      </w:r>
    </w:p>
    <w:p w14:paraId="00000028" w14:textId="4B723750" w:rsidR="00483B05" w:rsidRDefault="00E91DC3" w:rsidP="00AE7AE3">
      <w:pPr>
        <w:numPr>
          <w:ilvl w:val="0"/>
          <w:numId w:val="1"/>
        </w:numPr>
        <w:spacing w:after="120"/>
      </w:pPr>
      <w:r>
        <w:t>University d</w:t>
      </w:r>
      <w:r w:rsidR="00265F62">
        <w:t xml:space="preserve">epartments and research units should include </w:t>
      </w:r>
      <w:r>
        <w:t xml:space="preserve">reference to </w:t>
      </w:r>
      <w:r w:rsidR="00265F62">
        <w:t xml:space="preserve">this </w:t>
      </w:r>
      <w:r>
        <w:t>P</w:t>
      </w:r>
      <w:r w:rsidR="00265F62">
        <w:t xml:space="preserve">olicy in their orientation materials for new students and faculty. If </w:t>
      </w:r>
      <w:r w:rsidR="0034755B">
        <w:t xml:space="preserve">such units </w:t>
      </w:r>
      <w:r w:rsidR="00265F62">
        <w:t xml:space="preserve">require particular approaches to authorship, those should also be communicated to new students and faculty, </w:t>
      </w:r>
      <w:r w:rsidR="00A22E31">
        <w:t>in conjunction with other unit policies and guidance</w:t>
      </w:r>
      <w:r w:rsidR="00265F62">
        <w:t>.</w:t>
      </w:r>
    </w:p>
    <w:p w14:paraId="0000002A" w14:textId="0098A2B9" w:rsidR="00483B05" w:rsidRDefault="00265F62" w:rsidP="00AE7AE3">
      <w:pPr>
        <w:numPr>
          <w:ilvl w:val="0"/>
          <w:numId w:val="1"/>
        </w:numPr>
        <w:spacing w:after="120"/>
      </w:pPr>
      <w:r>
        <w:t xml:space="preserve">Collaborations with researchers at institutions other than UNC Charlotte should follow the recommendations in this </w:t>
      </w:r>
      <w:r w:rsidR="00E91DC3">
        <w:t>P</w:t>
      </w:r>
      <w:r>
        <w:t>olicy</w:t>
      </w:r>
      <w:r w:rsidR="0034755B">
        <w:t>, including a written agreement explicitly establishing</w:t>
      </w:r>
      <w:r w:rsidR="0034755B" w:rsidRPr="0034755B">
        <w:t xml:space="preserve"> </w:t>
      </w:r>
      <w:r w:rsidR="0034755B">
        <w:t>authorship order, authorship standards collaborators agree to follow, indications regarding when authorship changes should be discussed, and dispute resolution methods</w:t>
      </w:r>
      <w:r>
        <w:t xml:space="preserve">. </w:t>
      </w:r>
      <w:r w:rsidR="0034755B">
        <w:t>Such</w:t>
      </w:r>
      <w:r>
        <w:t xml:space="preserve"> authorship dispute resolution processes </w:t>
      </w:r>
      <w:r w:rsidR="0034755B">
        <w:t xml:space="preserve">may be distinct </w:t>
      </w:r>
      <w:r>
        <w:t>from those at UNC Charlotte. For example, on larger collaborations (particularly when they may lead to multiple publications), establishing an authorship dispute committee with members from each institution may be appropriate.</w:t>
      </w:r>
    </w:p>
    <w:p w14:paraId="0000002B" w14:textId="77777777" w:rsidR="00483B05" w:rsidRDefault="00483B05">
      <w:pPr>
        <w:ind w:left="1440"/>
      </w:pPr>
    </w:p>
    <w:p w14:paraId="0000002C" w14:textId="55F0B2C2" w:rsidR="00483B05" w:rsidRPr="00B72933" w:rsidRDefault="00265F62">
      <w:pPr>
        <w:numPr>
          <w:ilvl w:val="0"/>
          <w:numId w:val="5"/>
        </w:numPr>
        <w:rPr>
          <w:b/>
          <w:bCs/>
        </w:rPr>
      </w:pPr>
      <w:r w:rsidRPr="00B72933">
        <w:rPr>
          <w:b/>
          <w:bCs/>
        </w:rPr>
        <w:t xml:space="preserve">Dispute Resolution </w:t>
      </w:r>
      <w:r w:rsidR="00EC7E9B" w:rsidRPr="00B72933">
        <w:rPr>
          <w:b/>
          <w:bCs/>
        </w:rPr>
        <w:t>Procedures</w:t>
      </w:r>
    </w:p>
    <w:p w14:paraId="0000002D" w14:textId="77777777" w:rsidR="00483B05" w:rsidRDefault="00483B05">
      <w:pPr>
        <w:ind w:left="720"/>
      </w:pPr>
    </w:p>
    <w:p w14:paraId="0000002E" w14:textId="06E93D2F" w:rsidR="00483B05" w:rsidRDefault="00265F62" w:rsidP="00564146">
      <w:pPr>
        <w:ind w:left="180"/>
      </w:pPr>
      <w:r>
        <w:t xml:space="preserve">Although </w:t>
      </w:r>
      <w:r w:rsidR="00564146">
        <w:t>following the principles and practices outlined above</w:t>
      </w:r>
      <w:r>
        <w:t xml:space="preserve"> will help significantly to prevent authorship disputes</w:t>
      </w:r>
      <w:r w:rsidR="00564146">
        <w:t>, such disputes</w:t>
      </w:r>
      <w:r>
        <w:t xml:space="preserve"> may still arise. Informal steps should be taken to resolve the dispute first, but if </w:t>
      </w:r>
      <w:r w:rsidR="00564146">
        <w:t>informal resolution fails</w:t>
      </w:r>
      <w:r>
        <w:t>, the dispute may be submitted to the Authorship Dispute Panel for formal resolution.</w:t>
      </w:r>
    </w:p>
    <w:p w14:paraId="0000002F" w14:textId="77777777" w:rsidR="00483B05" w:rsidRDefault="00483B05">
      <w:pPr>
        <w:ind w:left="720"/>
      </w:pPr>
    </w:p>
    <w:p w14:paraId="00000030" w14:textId="373FD972" w:rsidR="00483B05" w:rsidRPr="00B72933" w:rsidRDefault="00265F62">
      <w:pPr>
        <w:numPr>
          <w:ilvl w:val="0"/>
          <w:numId w:val="6"/>
        </w:numPr>
        <w:rPr>
          <w:b/>
          <w:bCs/>
        </w:rPr>
      </w:pPr>
      <w:r w:rsidRPr="00B72933">
        <w:rPr>
          <w:b/>
          <w:bCs/>
        </w:rPr>
        <w:t>Informal Dispute Resolution</w:t>
      </w:r>
    </w:p>
    <w:p w14:paraId="00000031" w14:textId="77777777" w:rsidR="00483B05" w:rsidRDefault="00483B05">
      <w:pPr>
        <w:ind w:left="720"/>
      </w:pPr>
    </w:p>
    <w:p w14:paraId="00000033" w14:textId="6E79D5DE" w:rsidR="00483B05" w:rsidRDefault="00265F62" w:rsidP="00F27B75">
      <w:pPr>
        <w:spacing w:after="240"/>
        <w:ind w:left="720"/>
      </w:pPr>
      <w:r>
        <w:t xml:space="preserve">If an authorship dispute arises, the </w:t>
      </w:r>
      <w:r w:rsidR="00564146">
        <w:t>collaborators should initially attempt resolving it informally</w:t>
      </w:r>
      <w:r>
        <w:t xml:space="preserve">. </w:t>
      </w:r>
      <w:r w:rsidR="00564146">
        <w:t xml:space="preserve">Collaborators should consult any written authorship agreement to inform such resolution. </w:t>
      </w:r>
      <w:r w:rsidR="0075157D">
        <w:t xml:space="preserve">If </w:t>
      </w:r>
      <w:r w:rsidR="00A82FD7">
        <w:t xml:space="preserve">there is no such agreement or if </w:t>
      </w:r>
      <w:r w:rsidR="0075157D">
        <w:t>the terms of the agreement do not sufficiently resolve the matter, the collaborators might</w:t>
      </w:r>
      <w:r>
        <w:t xml:space="preserve"> involve a neutral third party, such as an </w:t>
      </w:r>
      <w:r w:rsidR="003B3947">
        <w:t xml:space="preserve">informal mediator or an </w:t>
      </w:r>
      <w:r>
        <w:t>Ombuds</w:t>
      </w:r>
      <w:r w:rsidR="003B3947">
        <w:t xml:space="preserve">, who may </w:t>
      </w:r>
      <w:r w:rsidR="00A22539">
        <w:t>facilitate</w:t>
      </w:r>
      <w:r w:rsidR="003B3947">
        <w:t xml:space="preserve"> discussions but whose role is </w:t>
      </w:r>
      <w:r w:rsidR="003B3947">
        <w:lastRenderedPageBreak/>
        <w:t>not to render a de</w:t>
      </w:r>
      <w:r w:rsidR="00941FC2">
        <w:t>cision</w:t>
      </w:r>
      <w:r>
        <w:t>. UNC Charlotte has separate Ombuds offices for faculty (</w:t>
      </w:r>
      <w:hyperlink r:id="rId14" w:history="1">
        <w:r w:rsidR="00564146" w:rsidRPr="00564146">
          <w:rPr>
            <w:rStyle w:val="Hyperlink"/>
          </w:rPr>
          <w:t>https://</w:t>
        </w:r>
        <w:r w:rsidRPr="00564146">
          <w:rPr>
            <w:rStyle w:val="Hyperlink"/>
          </w:rPr>
          <w:t>ombuds.uncc.edu</w:t>
        </w:r>
      </w:hyperlink>
      <w:r>
        <w:t>), graduate students (</w:t>
      </w:r>
      <w:hyperlink r:id="rId15">
        <w:r>
          <w:rPr>
            <w:color w:val="1155CC"/>
            <w:u w:val="single"/>
          </w:rPr>
          <w:t>https://graduateschool.uncc.edu/current-students/ombudsman</w:t>
        </w:r>
      </w:hyperlink>
      <w:r>
        <w:t>), and undergraduate students (</w:t>
      </w:r>
      <w:hyperlink r:id="rId16" w:history="1">
        <w:r w:rsidRPr="00564146">
          <w:rPr>
            <w:rStyle w:val="Hyperlink"/>
          </w:rPr>
          <w:t>https://sass.uncc.edu/students</w:t>
        </w:r>
      </w:hyperlink>
      <w:r>
        <w:t>).</w:t>
      </w:r>
      <w:r w:rsidR="003B3947">
        <w:t xml:space="preserve"> </w:t>
      </w:r>
    </w:p>
    <w:p w14:paraId="00000036" w14:textId="2BEA6875" w:rsidR="00483B05" w:rsidRDefault="00265F62" w:rsidP="00F27B75">
      <w:pPr>
        <w:spacing w:after="240"/>
        <w:ind w:left="720"/>
      </w:pPr>
      <w:r>
        <w:t xml:space="preserve">If the dispute </w:t>
      </w:r>
      <w:r w:rsidR="00A82FD7">
        <w:t>remains unresolved</w:t>
      </w:r>
      <w:r>
        <w:t xml:space="preserve">, </w:t>
      </w:r>
      <w:r w:rsidR="00B72933">
        <w:t xml:space="preserve">the collaborators </w:t>
      </w:r>
      <w:r>
        <w:t xml:space="preserve">may </w:t>
      </w:r>
      <w:r w:rsidR="000B54AD">
        <w:t xml:space="preserve">also </w:t>
      </w:r>
      <w:r>
        <w:t xml:space="preserve">contact </w:t>
      </w:r>
      <w:r w:rsidR="00F27B75">
        <w:t>the</w:t>
      </w:r>
      <w:r>
        <w:t xml:space="preserve"> Chair</w:t>
      </w:r>
      <w:r w:rsidR="00941FC2">
        <w:t xml:space="preserve">, a Graduate Program Director, the Dean of the relevant College, </w:t>
      </w:r>
      <w:r>
        <w:t xml:space="preserve">or </w:t>
      </w:r>
      <w:r w:rsidR="002F73F2">
        <w:t xml:space="preserve">the </w:t>
      </w:r>
      <w:r>
        <w:t>Dean</w:t>
      </w:r>
      <w:r w:rsidR="002F73F2">
        <w:t xml:space="preserve"> of the Graduate School</w:t>
      </w:r>
      <w:r>
        <w:t xml:space="preserve"> if the dispute involves a Chair</w:t>
      </w:r>
      <w:r w:rsidR="002F73F2">
        <w:t xml:space="preserve">, </w:t>
      </w:r>
      <w:r>
        <w:t>members of multiple departments</w:t>
      </w:r>
      <w:r w:rsidR="002F73F2">
        <w:t>, or members of multiple colleges</w:t>
      </w:r>
      <w:r>
        <w:t xml:space="preserve">) for informal </w:t>
      </w:r>
      <w:r w:rsidR="00A22539">
        <w:t>assistance</w:t>
      </w:r>
      <w:r>
        <w:t xml:space="preserve">. </w:t>
      </w:r>
    </w:p>
    <w:p w14:paraId="00000037" w14:textId="77777777" w:rsidR="00483B05" w:rsidRPr="00B72933" w:rsidRDefault="00265F62">
      <w:pPr>
        <w:numPr>
          <w:ilvl w:val="0"/>
          <w:numId w:val="6"/>
        </w:numPr>
        <w:rPr>
          <w:b/>
          <w:bCs/>
        </w:rPr>
      </w:pPr>
      <w:r w:rsidRPr="00B72933">
        <w:rPr>
          <w:b/>
          <w:bCs/>
        </w:rPr>
        <w:t>Formal Dispute Resolution: Authorship Dispute Panel</w:t>
      </w:r>
    </w:p>
    <w:p w14:paraId="00000038" w14:textId="77777777" w:rsidR="00483B05" w:rsidRDefault="00483B05">
      <w:pPr>
        <w:ind w:left="720"/>
      </w:pPr>
    </w:p>
    <w:p w14:paraId="00000039" w14:textId="18D6CB67" w:rsidR="00483B05" w:rsidRDefault="00265F62" w:rsidP="00AE7AE3">
      <w:pPr>
        <w:numPr>
          <w:ilvl w:val="0"/>
          <w:numId w:val="3"/>
        </w:numPr>
        <w:spacing w:after="120"/>
      </w:pPr>
      <w:r w:rsidRPr="00B72933">
        <w:rPr>
          <w:b/>
          <w:bCs/>
        </w:rPr>
        <w:t xml:space="preserve">Initiation of a </w:t>
      </w:r>
      <w:r w:rsidR="00060DD3">
        <w:rPr>
          <w:b/>
          <w:bCs/>
        </w:rPr>
        <w:t>Formal Dispute Resolution</w:t>
      </w:r>
      <w:r>
        <w:t xml:space="preserve">: If an authorship dispute cannot be resolved with the informal steps suggested above, a disputant may initiate a </w:t>
      </w:r>
      <w:r w:rsidR="00F27B75">
        <w:t xml:space="preserve">formal dispute resolution process </w:t>
      </w:r>
      <w:r>
        <w:t xml:space="preserve">by contacting the Dean of the Graduate School in writing with a summary of the </w:t>
      </w:r>
      <w:r w:rsidR="00F27B75">
        <w:t xml:space="preserve">dispute </w:t>
      </w:r>
      <w:r w:rsidR="00F14E1B">
        <w:t>and any supporting documents</w:t>
      </w:r>
      <w:r>
        <w:t xml:space="preserve">. </w:t>
      </w:r>
      <w:r w:rsidR="00F14E1B">
        <w:t xml:space="preserve">The Dean will review the </w:t>
      </w:r>
      <w:r w:rsidR="00F27B75">
        <w:t xml:space="preserve">dispute </w:t>
      </w:r>
      <w:r w:rsidR="00F14E1B">
        <w:t xml:space="preserve">and any supporting documents to determine whether a formal resolution is appropriate. </w:t>
      </w:r>
      <w:r>
        <w:t xml:space="preserve">If the Dean </w:t>
      </w:r>
      <w:r w:rsidR="00F14E1B">
        <w:t>determines that formal resolution is appropriate</w:t>
      </w:r>
      <w:r>
        <w:t xml:space="preserve">, </w:t>
      </w:r>
      <w:r w:rsidR="009209C9">
        <w:t xml:space="preserve">the Dean will appoint </w:t>
      </w:r>
      <w:r>
        <w:t>an Authorship Dispute Panel</w:t>
      </w:r>
      <w:r w:rsidR="00F14E1B">
        <w:t xml:space="preserve"> to </w:t>
      </w:r>
      <w:r w:rsidR="00D66B46">
        <w:t>consider</w:t>
      </w:r>
      <w:r w:rsidR="00B25632">
        <w:t xml:space="preserve"> the matter</w:t>
      </w:r>
      <w:r w:rsidR="00D66B46">
        <w:t xml:space="preserve"> and make recommendations</w:t>
      </w:r>
      <w:r>
        <w:t>.</w:t>
      </w:r>
    </w:p>
    <w:p w14:paraId="3D16BBF2" w14:textId="3F2A975B" w:rsidR="00AE7AE3" w:rsidRDefault="00B72933" w:rsidP="00F27B75">
      <w:pPr>
        <w:numPr>
          <w:ilvl w:val="0"/>
          <w:numId w:val="3"/>
        </w:numPr>
        <w:spacing w:after="120"/>
      </w:pPr>
      <w:r w:rsidRPr="00B72933">
        <w:rPr>
          <w:b/>
          <w:bCs/>
        </w:rPr>
        <w:t xml:space="preserve">Authorship Dispute </w:t>
      </w:r>
      <w:r w:rsidR="00265F62" w:rsidRPr="00B72933">
        <w:rPr>
          <w:b/>
          <w:bCs/>
        </w:rPr>
        <w:t>Panel</w:t>
      </w:r>
      <w:r w:rsidR="00265F62">
        <w:t xml:space="preserve">: From a standing pool of seven members </w:t>
      </w:r>
      <w:r w:rsidR="009209C9">
        <w:t xml:space="preserve">appointed by the Dean of the Graduate School </w:t>
      </w:r>
      <w:r w:rsidR="00265F62">
        <w:t xml:space="preserve">(including </w:t>
      </w:r>
      <w:r w:rsidR="000F0413">
        <w:t xml:space="preserve">faculty members and </w:t>
      </w:r>
      <w:r w:rsidR="00265F62">
        <w:t xml:space="preserve">at least two graduate students), the Dean will charge a </w:t>
      </w:r>
      <w:r w:rsidR="000F0413">
        <w:t>three</w:t>
      </w:r>
      <w:r w:rsidR="00265F62">
        <w:t xml:space="preserve">-person Panel to hear the dispute. </w:t>
      </w:r>
      <w:r w:rsidR="000F0413">
        <w:t xml:space="preserve">If the dispute involves a graduate student, the Panel must include at least one graduate student. </w:t>
      </w:r>
      <w:r w:rsidR="00AE1A27">
        <w:t xml:space="preserve">If the dispute involves only faculty, the Panel must include only tenured faculty. </w:t>
      </w:r>
      <w:r w:rsidR="00265F62">
        <w:t xml:space="preserve">The Dean will ensure that there is appropriate expertise to carry out a thorough and authoritative evaluation of the dispute, and </w:t>
      </w:r>
      <w:r w:rsidR="00256D6A">
        <w:t xml:space="preserve">will require that the Panel </w:t>
      </w:r>
      <w:r w:rsidR="00265F62">
        <w:t xml:space="preserve">maintain </w:t>
      </w:r>
      <w:r w:rsidR="009209C9">
        <w:t xml:space="preserve">confidentiality </w:t>
      </w:r>
      <w:r w:rsidR="00265F62">
        <w:t xml:space="preserve">of all </w:t>
      </w:r>
      <w:r w:rsidR="00256D6A">
        <w:t>documentation</w:t>
      </w:r>
      <w:r w:rsidR="00265F62">
        <w:t xml:space="preserve">. The Panel may also consult other members </w:t>
      </w:r>
      <w:r w:rsidR="00D5573B">
        <w:t xml:space="preserve">of the University community </w:t>
      </w:r>
      <w:r w:rsidR="00265F62">
        <w:t>for required expertise</w:t>
      </w:r>
      <w:r w:rsidR="00557C21">
        <w:t xml:space="preserve"> without disclosing any identifying information about the disputant</w:t>
      </w:r>
      <w:r w:rsidR="00265F62">
        <w:t xml:space="preserve">, but those consulted will not participate in adjudicating the dispute. </w:t>
      </w:r>
    </w:p>
    <w:p w14:paraId="09204655" w14:textId="5AA83F28" w:rsidR="00AE7AE3" w:rsidRPr="00F27B75" w:rsidRDefault="00265F62" w:rsidP="00F27B75">
      <w:pPr>
        <w:spacing w:after="120"/>
        <w:ind w:left="1440"/>
        <w:rPr>
          <w:lang w:val="en-US"/>
        </w:rPr>
      </w:pPr>
      <w:r>
        <w:t xml:space="preserve">The </w:t>
      </w:r>
      <w:r w:rsidR="009209C9">
        <w:t xml:space="preserve">disputant </w:t>
      </w:r>
      <w:r>
        <w:t xml:space="preserve">is responsible for </w:t>
      </w:r>
      <w:r w:rsidR="00D5573B">
        <w:t xml:space="preserve">presenting </w:t>
      </w:r>
      <w:r w:rsidR="00981FE5">
        <w:t>the</w:t>
      </w:r>
      <w:r w:rsidR="00D5573B">
        <w:t xml:space="preserve"> authorship dispute</w:t>
      </w:r>
      <w:r>
        <w:t xml:space="preserve"> in good faith, for maintaining confidentiality</w:t>
      </w:r>
      <w:r w:rsidR="00981FE5">
        <w:t xml:space="preserve"> of the parties to the dispute</w:t>
      </w:r>
      <w:r w:rsidR="00981FE5" w:rsidRPr="00981FE5">
        <w:t xml:space="preserve"> </w:t>
      </w:r>
      <w:r w:rsidR="00981FE5">
        <w:t xml:space="preserve">and of all </w:t>
      </w:r>
      <w:r w:rsidR="00256D6A">
        <w:t>documentation</w:t>
      </w:r>
      <w:r>
        <w:t xml:space="preserve">, and for cooperating with the Panel’s deliberative process. The </w:t>
      </w:r>
      <w:r w:rsidR="009209C9">
        <w:t xml:space="preserve">disputant </w:t>
      </w:r>
      <w:r>
        <w:t xml:space="preserve">will have an opportunity to </w:t>
      </w:r>
      <w:r w:rsidR="00981FE5">
        <w:t xml:space="preserve">be interviewed by and </w:t>
      </w:r>
      <w:r w:rsidR="00F14E1B">
        <w:t xml:space="preserve">present </w:t>
      </w:r>
      <w:r w:rsidR="00256D6A">
        <w:t xml:space="preserve">documentation </w:t>
      </w:r>
      <w:r w:rsidR="00F14E1B">
        <w:t xml:space="preserve">to </w:t>
      </w:r>
      <w:r>
        <w:t>the Panel</w:t>
      </w:r>
      <w:r w:rsidR="00981FE5">
        <w:t>,</w:t>
      </w:r>
      <w:r>
        <w:t xml:space="preserve"> </w:t>
      </w:r>
      <w:r w:rsidR="00557C21">
        <w:t xml:space="preserve">and </w:t>
      </w:r>
      <w:r w:rsidR="00981FE5">
        <w:t>to review the draft report</w:t>
      </w:r>
      <w:r w:rsidR="00237463">
        <w:rPr>
          <w:lang w:val="en-US"/>
        </w:rPr>
        <w:t>.</w:t>
      </w:r>
    </w:p>
    <w:p w14:paraId="7455DFB3" w14:textId="236EF3E0" w:rsidR="00AE7AE3" w:rsidRPr="00F27B75" w:rsidRDefault="00265F62" w:rsidP="00F27B75">
      <w:pPr>
        <w:spacing w:after="120"/>
        <w:ind w:left="1440"/>
        <w:rPr>
          <w:lang w:val="en-US"/>
        </w:rPr>
      </w:pPr>
      <w:r>
        <w:t>The</w:t>
      </w:r>
      <w:r w:rsidR="00981FE5">
        <w:t xml:space="preserve"> Panel will notify the</w:t>
      </w:r>
      <w:r>
        <w:t xml:space="preserve"> </w:t>
      </w:r>
      <w:r w:rsidR="00981FE5">
        <w:t>r</w:t>
      </w:r>
      <w:r>
        <w:t>espondent</w:t>
      </w:r>
      <w:r w:rsidR="00981FE5">
        <w:t>(s)</w:t>
      </w:r>
      <w:r>
        <w:t xml:space="preserve"> of the dispute when the </w:t>
      </w:r>
      <w:r w:rsidR="00560C9E">
        <w:t xml:space="preserve">Dean appoints the </w:t>
      </w:r>
      <w:r>
        <w:t xml:space="preserve">Panel. </w:t>
      </w:r>
      <w:r w:rsidR="00560C9E">
        <w:t xml:space="preserve">The respondent(s) are responsible for making their case in good faith, </w:t>
      </w:r>
      <w:r w:rsidR="00E648D6">
        <w:t xml:space="preserve">for maintaining the confidentiality of the parties to the dispute and of all </w:t>
      </w:r>
      <w:r w:rsidR="00256D6A">
        <w:t>documentation</w:t>
      </w:r>
      <w:r w:rsidR="00E648D6">
        <w:t xml:space="preserve">, and for cooperating with the Panel’s deliberative process. </w:t>
      </w:r>
      <w:r>
        <w:t xml:space="preserve">The </w:t>
      </w:r>
      <w:r w:rsidR="00D5573B">
        <w:t>r</w:t>
      </w:r>
      <w:r>
        <w:t>espondent</w:t>
      </w:r>
      <w:r w:rsidR="00D5573B">
        <w:t>(s)</w:t>
      </w:r>
      <w:r>
        <w:t xml:space="preserve"> will have the opportunity to be interviewed by and present </w:t>
      </w:r>
      <w:r w:rsidR="00256D6A">
        <w:t xml:space="preserve">documentation </w:t>
      </w:r>
      <w:r>
        <w:t xml:space="preserve">to the Panel, </w:t>
      </w:r>
      <w:r w:rsidR="00557C21">
        <w:t xml:space="preserve">and </w:t>
      </w:r>
      <w:r>
        <w:t>to review the draft report</w:t>
      </w:r>
      <w:r w:rsidR="00237463" w:rsidRPr="00D66B46">
        <w:rPr>
          <w:lang w:val="en-US"/>
        </w:rPr>
        <w:t>.</w:t>
      </w:r>
      <w:r w:rsidR="00560C9E" w:rsidRPr="00D66B46">
        <w:rPr>
          <w:lang w:val="en-US"/>
        </w:rPr>
        <w:t xml:space="preserve"> </w:t>
      </w:r>
    </w:p>
    <w:p w14:paraId="0B5FCE5A" w14:textId="5370B2F9" w:rsidR="00BA76A3" w:rsidRDefault="00265F62" w:rsidP="00BA76A3">
      <w:pPr>
        <w:spacing w:after="120"/>
        <w:ind w:left="1440"/>
      </w:pPr>
      <w:r>
        <w:t xml:space="preserve">UNC Charlotte will protect the </w:t>
      </w:r>
      <w:r w:rsidR="00E648D6">
        <w:t xml:space="preserve">confidentiality </w:t>
      </w:r>
      <w:r>
        <w:t xml:space="preserve">of </w:t>
      </w:r>
      <w:r w:rsidR="00D66B46">
        <w:t>the parties to the dispute and any related documents</w:t>
      </w:r>
      <w:r>
        <w:t xml:space="preserve"> to the extent </w:t>
      </w:r>
      <w:r w:rsidR="00D66B46">
        <w:t xml:space="preserve">permitted </w:t>
      </w:r>
      <w:r>
        <w:t>under law.</w:t>
      </w:r>
    </w:p>
    <w:p w14:paraId="427616E2" w14:textId="728E9597" w:rsidR="005D296B" w:rsidRDefault="00BA76A3" w:rsidP="00F27B75">
      <w:pPr>
        <w:pStyle w:val="ListParagraph"/>
        <w:numPr>
          <w:ilvl w:val="0"/>
          <w:numId w:val="3"/>
        </w:numPr>
        <w:spacing w:after="120"/>
      </w:pPr>
      <w:r w:rsidRPr="00BA76A3">
        <w:rPr>
          <w:b/>
          <w:bCs/>
        </w:rPr>
        <w:lastRenderedPageBreak/>
        <w:t>Resolution</w:t>
      </w:r>
      <w:r>
        <w:t xml:space="preserve">: The Panel </w:t>
      </w:r>
      <w:r w:rsidR="00265F62">
        <w:t xml:space="preserve">will make a written recommendation </w:t>
      </w:r>
      <w:r w:rsidR="00D66B46">
        <w:t xml:space="preserve">to the Dean </w:t>
      </w:r>
      <w:r w:rsidR="00265F62">
        <w:t xml:space="preserve">summarizing the dispute, </w:t>
      </w:r>
      <w:r w:rsidR="00256D6A">
        <w:t xml:space="preserve">documentation </w:t>
      </w:r>
      <w:r w:rsidR="00265F62">
        <w:t>considered, and recommend</w:t>
      </w:r>
      <w:r w:rsidR="00977AA0">
        <w:t xml:space="preserve">ed </w:t>
      </w:r>
      <w:r w:rsidR="00D66B46">
        <w:t>resolution</w:t>
      </w:r>
      <w:r w:rsidR="00082130">
        <w:t>, along with its rationale</w:t>
      </w:r>
      <w:r w:rsidR="00265F62">
        <w:t xml:space="preserve">. </w:t>
      </w:r>
      <w:r w:rsidR="00981FE5">
        <w:t xml:space="preserve">The </w:t>
      </w:r>
      <w:r w:rsidR="00D66B46">
        <w:t>Dean</w:t>
      </w:r>
      <w:r w:rsidR="00981FE5">
        <w:t xml:space="preserve"> will notify the disputant</w:t>
      </w:r>
      <w:r w:rsidR="00981FE5" w:rsidDel="009209C9">
        <w:t xml:space="preserve"> </w:t>
      </w:r>
      <w:r w:rsidR="00981FE5">
        <w:t xml:space="preserve">and respondent(s) of the </w:t>
      </w:r>
      <w:r w:rsidR="002460FC">
        <w:t>Panel’s recommendation.</w:t>
      </w:r>
      <w:r w:rsidR="008F3CDF">
        <w:t xml:space="preserve"> </w:t>
      </w:r>
    </w:p>
    <w:p w14:paraId="6914691A" w14:textId="2A8108BC" w:rsidR="00AE7AE3" w:rsidRDefault="008F3CDF" w:rsidP="00570C48">
      <w:pPr>
        <w:spacing w:after="120"/>
        <w:ind w:left="1440"/>
      </w:pPr>
      <w:r>
        <w:t xml:space="preserve">The </w:t>
      </w:r>
      <w:r w:rsidR="003E4B5A">
        <w:t xml:space="preserve">Panel’s </w:t>
      </w:r>
      <w:r>
        <w:t>recommendation is not binding on the parties</w:t>
      </w:r>
      <w:r w:rsidR="003E4B5A">
        <w:t xml:space="preserve"> to the dispute</w:t>
      </w:r>
      <w:r>
        <w:t xml:space="preserve"> but </w:t>
      </w:r>
      <w:r w:rsidR="003E4B5A">
        <w:t xml:space="preserve">may be considered as </w:t>
      </w:r>
      <w:r w:rsidR="005D296B">
        <w:t xml:space="preserve">presumptive </w:t>
      </w:r>
      <w:r>
        <w:t>evidence of the appropriate authorship designation</w:t>
      </w:r>
      <w:r w:rsidR="00820897">
        <w:t xml:space="preserve"> if either the disputant or respondent</w:t>
      </w:r>
      <w:r w:rsidR="000440B4">
        <w:t xml:space="preserve"> fails to implement</w:t>
      </w:r>
      <w:r w:rsidR="00820897">
        <w:t xml:space="preserve"> the recommendation</w:t>
      </w:r>
      <w:r>
        <w:t>.</w:t>
      </w:r>
      <w:r w:rsidR="000440B4">
        <w:t xml:space="preserve"> The Dean may notify the non-complying party’s supervisor or other appropriate administrator if the Dean determines that the party’s failure to implement the recommendation warrants consideration of disciplinary or other </w:t>
      </w:r>
      <w:r w:rsidR="00060DD3">
        <w:t xml:space="preserve">appropriate </w:t>
      </w:r>
      <w:r w:rsidR="000440B4">
        <w:t>action.</w:t>
      </w:r>
      <w:r>
        <w:t xml:space="preserve"> </w:t>
      </w:r>
      <w:r w:rsidR="002460FC">
        <w:t xml:space="preserve">  </w:t>
      </w:r>
    </w:p>
    <w:p w14:paraId="00000044" w14:textId="77777777" w:rsidR="00483B05" w:rsidRDefault="00483B05"/>
    <w:p w14:paraId="7C5758C4" w14:textId="7159B640" w:rsidR="00082130" w:rsidRDefault="00265F62">
      <w:pPr>
        <w:numPr>
          <w:ilvl w:val="0"/>
          <w:numId w:val="5"/>
        </w:numPr>
        <w:rPr>
          <w:b/>
          <w:bCs/>
        </w:rPr>
      </w:pPr>
      <w:r w:rsidRPr="00B72933">
        <w:rPr>
          <w:b/>
          <w:bCs/>
        </w:rPr>
        <w:t>Responsible University Administrator</w:t>
      </w:r>
    </w:p>
    <w:p w14:paraId="00000045" w14:textId="74327B97" w:rsidR="00483B05" w:rsidRPr="00E22C49" w:rsidRDefault="00082130" w:rsidP="00E22C49">
      <w:pPr>
        <w:ind w:left="90"/>
      </w:pPr>
      <w:r>
        <w:t xml:space="preserve">The </w:t>
      </w:r>
      <w:r w:rsidR="00265F62" w:rsidRPr="00E22C49">
        <w:t>Dean</w:t>
      </w:r>
      <w:r>
        <w:t xml:space="preserve"> of t</w:t>
      </w:r>
      <w:r w:rsidR="00265F62" w:rsidRPr="00E22C49">
        <w:t>he Graduate School</w:t>
      </w:r>
      <w:r>
        <w:t xml:space="preserve"> shall be responsible for implementing this Policy.</w:t>
      </w:r>
    </w:p>
    <w:p w14:paraId="00000046" w14:textId="77777777" w:rsidR="00483B05" w:rsidRDefault="00483B05">
      <w:pPr>
        <w:ind w:left="720"/>
      </w:pPr>
    </w:p>
    <w:p w14:paraId="00000048" w14:textId="57D5FEE4" w:rsidR="00483B05" w:rsidRDefault="00483B05">
      <w:pPr>
        <w:ind w:left="720"/>
      </w:pPr>
    </w:p>
    <w:p w14:paraId="47A0608C" w14:textId="6352995D" w:rsidR="00EC7E9B" w:rsidRDefault="00EC7E9B" w:rsidP="00EC7E9B">
      <w:r w:rsidRPr="00EC7E9B">
        <w:rPr>
          <w:b/>
          <w:bCs/>
        </w:rPr>
        <w:t>Initially Approved</w:t>
      </w:r>
      <w:r>
        <w:t xml:space="preserve">: </w:t>
      </w:r>
      <w:r w:rsidR="008F292D">
        <w:t>[</w:t>
      </w:r>
      <w:r>
        <w:t>DATE</w:t>
      </w:r>
      <w:r w:rsidR="008F292D">
        <w:t>]</w:t>
      </w:r>
    </w:p>
    <w:p w14:paraId="432DA29E" w14:textId="48C46D3A" w:rsidR="00EC7E9B" w:rsidRDefault="00EC7E9B" w:rsidP="00EC7E9B"/>
    <w:p w14:paraId="329F1E24" w14:textId="2DC12B57" w:rsidR="00EC7E9B" w:rsidRDefault="00EC7E9B" w:rsidP="00EC7E9B">
      <w:r w:rsidRPr="00EC7E9B">
        <w:rPr>
          <w:b/>
          <w:bCs/>
        </w:rPr>
        <w:t>Authority</w:t>
      </w:r>
      <w:r>
        <w:t>: Chancellor</w:t>
      </w:r>
    </w:p>
    <w:p w14:paraId="66A87089" w14:textId="313187F9" w:rsidR="00EC7E9B" w:rsidRDefault="00EC7E9B" w:rsidP="00EC7E9B">
      <w:r>
        <w:br/>
      </w:r>
      <w:r w:rsidRPr="00EC7E9B">
        <w:rPr>
          <w:b/>
          <w:bCs/>
        </w:rPr>
        <w:t>Responsible Office</w:t>
      </w:r>
      <w:r>
        <w:t>: Academic Affairs</w:t>
      </w:r>
      <w:r w:rsidR="006D5E19">
        <w:t xml:space="preserve"> </w:t>
      </w:r>
    </w:p>
    <w:p w14:paraId="71548BD1" w14:textId="4C29D79D" w:rsidR="00EC7E9B" w:rsidRDefault="00EC7E9B" w:rsidP="00EC7E9B">
      <w:r>
        <w:br/>
      </w:r>
      <w:r w:rsidRPr="00EC7E9B">
        <w:rPr>
          <w:b/>
          <w:bCs/>
        </w:rPr>
        <w:t>Related Resources</w:t>
      </w:r>
      <w:r>
        <w:t>:</w:t>
      </w:r>
    </w:p>
    <w:p w14:paraId="7C4184DD" w14:textId="77777777" w:rsidR="00EC7E9B" w:rsidRDefault="00EC7E9B" w:rsidP="00EC7E9B"/>
    <w:p w14:paraId="40F8814C" w14:textId="2E59F100" w:rsidR="008F292D" w:rsidRDefault="008F292D" w:rsidP="00EC7E9B">
      <w:pPr>
        <w:pStyle w:val="ListParagraph"/>
        <w:numPr>
          <w:ilvl w:val="0"/>
          <w:numId w:val="8"/>
        </w:numPr>
      </w:pPr>
      <w:commentRangeStart w:id="2"/>
      <w:r>
        <w:t>[Supplemental Guidelines]</w:t>
      </w:r>
      <w:commentRangeEnd w:id="2"/>
      <w:r w:rsidR="00EB726B">
        <w:rPr>
          <w:rStyle w:val="CommentReference"/>
        </w:rPr>
        <w:commentReference w:id="2"/>
      </w:r>
    </w:p>
    <w:p w14:paraId="28648C3A" w14:textId="4FDF34C6" w:rsidR="00B12E94" w:rsidRPr="00CF70C4" w:rsidRDefault="009876A3" w:rsidP="00EC7E9B">
      <w:pPr>
        <w:pStyle w:val="ListParagraph"/>
        <w:numPr>
          <w:ilvl w:val="0"/>
          <w:numId w:val="8"/>
        </w:numPr>
      </w:pPr>
      <w:hyperlink r:id="rId17" w:history="1">
        <w:r w:rsidR="00B12E94" w:rsidRPr="00B12E94">
          <w:rPr>
            <w:rStyle w:val="Hyperlink"/>
          </w:rPr>
          <w:t>University Policy 309, Responding to Allegations of Misconduct in Research and Scholarship</w:t>
        </w:r>
      </w:hyperlink>
    </w:p>
    <w:p w14:paraId="19DCB2EE" w14:textId="11FCFBA9" w:rsidR="00B12E94" w:rsidRPr="00CF70C4" w:rsidRDefault="009876A3" w:rsidP="00EC7E9B">
      <w:pPr>
        <w:pStyle w:val="ListParagraph"/>
        <w:numPr>
          <w:ilvl w:val="0"/>
          <w:numId w:val="8"/>
        </w:numPr>
      </w:pPr>
      <w:hyperlink r:id="rId18" w:history="1">
        <w:r w:rsidR="00B12E94" w:rsidRPr="00B12E94">
          <w:rPr>
            <w:rStyle w:val="Hyperlink"/>
            <w:lang w:val="en-US"/>
          </w:rPr>
          <w:t>University Policy 407, Code of Student Academic Integrity</w:t>
        </w:r>
      </w:hyperlink>
    </w:p>
    <w:p w14:paraId="771D39A4" w14:textId="2A98DE9E" w:rsidR="00CF70C4" w:rsidRDefault="009876A3" w:rsidP="00EC7E9B">
      <w:pPr>
        <w:pStyle w:val="ListParagraph"/>
        <w:numPr>
          <w:ilvl w:val="0"/>
          <w:numId w:val="8"/>
        </w:numPr>
      </w:pPr>
      <w:hyperlink r:id="rId19" w:history="1">
        <w:r w:rsidR="00CF70C4" w:rsidRPr="00CF70C4">
          <w:rPr>
            <w:rStyle w:val="Hyperlink"/>
          </w:rPr>
          <w:t>University Policy 803, Reporting and Investigation of Suspected Improper Activities and Whistleblower Protection</w:t>
        </w:r>
      </w:hyperlink>
    </w:p>
    <w:p w14:paraId="0000004A" w14:textId="0B1DE718" w:rsidR="00483B05" w:rsidRDefault="00265F62" w:rsidP="00EC7E9B">
      <w:pPr>
        <w:pStyle w:val="ListParagraph"/>
        <w:numPr>
          <w:ilvl w:val="0"/>
          <w:numId w:val="8"/>
        </w:numPr>
      </w:pPr>
      <w:r>
        <w:t>American Psychological Association (APA) (undated), “</w:t>
      </w:r>
      <w:hyperlink r:id="rId20" w:history="1">
        <w:r w:rsidRPr="0070761E">
          <w:rPr>
            <w:rStyle w:val="Hyperlink"/>
          </w:rPr>
          <w:t>Publication Practices &amp; Responsible Authorship</w:t>
        </w:r>
      </w:hyperlink>
      <w:r>
        <w:t xml:space="preserve">” </w:t>
      </w:r>
    </w:p>
    <w:p w14:paraId="0000004C" w14:textId="7921C5E2" w:rsidR="00483B05" w:rsidRDefault="00265F62" w:rsidP="00EC7E9B">
      <w:pPr>
        <w:pStyle w:val="ListParagraph"/>
        <w:numPr>
          <w:ilvl w:val="0"/>
          <w:numId w:val="8"/>
        </w:numPr>
      </w:pPr>
      <w:r>
        <w:t>American Psychological Association (APA) (undated), “</w:t>
      </w:r>
      <w:hyperlink r:id="rId21" w:history="1">
        <w:r w:rsidRPr="0070761E">
          <w:rPr>
            <w:rStyle w:val="Hyperlink"/>
          </w:rPr>
          <w:t>Tips for Determining Authorship Credit</w:t>
        </w:r>
      </w:hyperlink>
      <w:r>
        <w:t xml:space="preserve">” </w:t>
      </w:r>
    </w:p>
    <w:p w14:paraId="0000004D" w14:textId="6D29746C" w:rsidR="00483B05" w:rsidRDefault="00265F62" w:rsidP="00EC7E9B">
      <w:pPr>
        <w:pStyle w:val="ListParagraph"/>
        <w:numPr>
          <w:ilvl w:val="0"/>
          <w:numId w:val="8"/>
        </w:numPr>
      </w:pPr>
      <w:r>
        <w:t>Committee on Publication Ethics (COPE) (2019)</w:t>
      </w:r>
      <w:r w:rsidR="0070761E">
        <w:t>,</w:t>
      </w:r>
      <w:r>
        <w:t xml:space="preserve"> “</w:t>
      </w:r>
      <w:hyperlink r:id="rId22" w:history="1">
        <w:r w:rsidRPr="0070761E">
          <w:rPr>
            <w:rStyle w:val="Hyperlink"/>
          </w:rPr>
          <w:t>Discussion Document: Authorship</w:t>
        </w:r>
      </w:hyperlink>
      <w:r>
        <w:t xml:space="preserve">.” </w:t>
      </w:r>
    </w:p>
    <w:p w14:paraId="0000004F" w14:textId="37FBBA5E" w:rsidR="00483B05" w:rsidRDefault="00265F62" w:rsidP="00EC7E9B">
      <w:pPr>
        <w:pStyle w:val="ListParagraph"/>
        <w:numPr>
          <w:ilvl w:val="0"/>
          <w:numId w:val="8"/>
        </w:numPr>
      </w:pPr>
      <w:r>
        <w:t>International Committee of Medical Journal Editors (ICMJE) (undated). “</w:t>
      </w:r>
      <w:hyperlink r:id="rId23" w:history="1">
        <w:r w:rsidRPr="0070761E">
          <w:rPr>
            <w:rStyle w:val="Hyperlink"/>
          </w:rPr>
          <w:t>Recommendations for the Conduct, Reporting, Editing, and Publication of Scholarly Work in Medical Journals</w:t>
        </w:r>
      </w:hyperlink>
      <w:r>
        <w:t xml:space="preserve">” </w:t>
      </w:r>
    </w:p>
    <w:p w14:paraId="00000051" w14:textId="786752E7" w:rsidR="00483B05" w:rsidRDefault="00265F62" w:rsidP="00EC7E9B">
      <w:pPr>
        <w:pStyle w:val="ListParagraph"/>
        <w:numPr>
          <w:ilvl w:val="0"/>
          <w:numId w:val="8"/>
        </w:numPr>
      </w:pPr>
      <w:r>
        <w:t>Institute for Electrical and Electronics Engineers (IEEE) (undated)</w:t>
      </w:r>
      <w:r w:rsidR="0070761E">
        <w:t>,</w:t>
      </w:r>
      <w:r>
        <w:t xml:space="preserve"> “</w:t>
      </w:r>
      <w:hyperlink r:id="rId24" w:history="1">
        <w:r w:rsidRPr="0070761E">
          <w:rPr>
            <w:rStyle w:val="Hyperlink"/>
          </w:rPr>
          <w:t>Ethical Requirements</w:t>
        </w:r>
      </w:hyperlink>
      <w:r>
        <w:t xml:space="preserve">” </w:t>
      </w:r>
    </w:p>
    <w:p w14:paraId="00000052" w14:textId="1F55FD90" w:rsidR="00483B05" w:rsidRDefault="00265F62" w:rsidP="00EC7E9B">
      <w:pPr>
        <w:pStyle w:val="ListParagraph"/>
        <w:numPr>
          <w:ilvl w:val="0"/>
          <w:numId w:val="8"/>
        </w:numPr>
      </w:pPr>
      <w:r>
        <w:t xml:space="preserve">Stocks, Angel; Donna Simcoe, </w:t>
      </w:r>
      <w:proofErr w:type="spellStart"/>
      <w:r>
        <w:t>Dikran</w:t>
      </w:r>
      <w:proofErr w:type="spellEnd"/>
      <w:r>
        <w:t xml:space="preserve"> </w:t>
      </w:r>
      <w:proofErr w:type="spellStart"/>
      <w:r>
        <w:t>Toroser</w:t>
      </w:r>
      <w:proofErr w:type="spellEnd"/>
      <w:r>
        <w:t xml:space="preserve"> &amp; Lisa </w:t>
      </w:r>
      <w:proofErr w:type="spellStart"/>
      <w:r>
        <w:t>DeTora</w:t>
      </w:r>
      <w:proofErr w:type="spellEnd"/>
      <w:r>
        <w:t xml:space="preserve"> (2018). “</w:t>
      </w:r>
      <w:hyperlink r:id="rId25" w:history="1">
        <w:r w:rsidRPr="0070761E">
          <w:rPr>
            <w:rStyle w:val="Hyperlink"/>
          </w:rPr>
          <w:t xml:space="preserve">Substantial contribution and accountability: best authorship practices for medical writers in </w:t>
        </w:r>
        <w:r w:rsidRPr="0070761E">
          <w:rPr>
            <w:rStyle w:val="Hyperlink"/>
          </w:rPr>
          <w:lastRenderedPageBreak/>
          <w:t>biomedical publications</w:t>
        </w:r>
      </w:hyperlink>
      <w:r>
        <w:t xml:space="preserve">,” </w:t>
      </w:r>
      <w:r w:rsidRPr="00EC7E9B">
        <w:rPr>
          <w:i/>
        </w:rPr>
        <w:t>Current Medical Research and Opinion</w:t>
      </w:r>
      <w:r>
        <w:t xml:space="preserve">, 34:6, 1163-1168, DOI: 10.1080/03007995.2018.1451832. </w:t>
      </w:r>
    </w:p>
    <w:sectPr w:rsidR="00483B0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my Kelso" w:date="2021-02-11T10:42:00Z" w:initials="ask">
    <w:p w14:paraId="7E408A64" w14:textId="6A2BD8A3" w:rsidR="0034755B" w:rsidRDefault="0034755B">
      <w:pPr>
        <w:pStyle w:val="CommentText"/>
      </w:pPr>
      <w:r>
        <w:rPr>
          <w:rStyle w:val="CommentReference"/>
        </w:rPr>
        <w:annotationRef/>
      </w:r>
      <w:r>
        <w:t>Add URL here when available</w:t>
      </w:r>
    </w:p>
  </w:comment>
  <w:comment w:id="2" w:author="Amy Kelso" w:date="2021-04-20T11:26:00Z" w:initials="ask">
    <w:p w14:paraId="0345F288" w14:textId="659D7FEC" w:rsidR="00EB726B" w:rsidRDefault="00EB726B">
      <w:pPr>
        <w:pStyle w:val="CommentText"/>
      </w:pPr>
      <w:r>
        <w:rPr>
          <w:rStyle w:val="CommentReference"/>
        </w:rPr>
        <w:annotationRef/>
      </w:r>
      <w:r>
        <w:t>PENDING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408A64" w15:done="0"/>
  <w15:commentEx w15:paraId="0345F2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8899" w16cex:dateUtc="2021-02-11T15:42:00Z"/>
  <w16cex:commentExtensible w16cex:durableId="242938E9" w16cex:dateUtc="2021-04-20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08A64" w16cid:durableId="23CF8899"/>
  <w16cid:commentId w16cid:paraId="0345F288" w16cid:durableId="242938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0DF2" w14:textId="77777777" w:rsidR="00C56B40" w:rsidRDefault="00C56B40">
      <w:pPr>
        <w:spacing w:line="240" w:lineRule="auto"/>
      </w:pPr>
      <w:r>
        <w:separator/>
      </w:r>
    </w:p>
  </w:endnote>
  <w:endnote w:type="continuationSeparator" w:id="0">
    <w:p w14:paraId="4C31D933" w14:textId="77777777" w:rsidR="00C56B40" w:rsidRDefault="00C56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F965" w14:textId="77777777" w:rsidR="00C56B40" w:rsidRDefault="00C56B40">
      <w:pPr>
        <w:spacing w:line="240" w:lineRule="auto"/>
      </w:pPr>
      <w:r>
        <w:separator/>
      </w:r>
    </w:p>
  </w:footnote>
  <w:footnote w:type="continuationSeparator" w:id="0">
    <w:p w14:paraId="2E8C57E0" w14:textId="77777777" w:rsidR="00C56B40" w:rsidRDefault="00C56B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403"/>
    <w:multiLevelType w:val="multilevel"/>
    <w:tmpl w:val="8C449EE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026D0C"/>
    <w:multiLevelType w:val="hybridMultilevel"/>
    <w:tmpl w:val="6BDC6A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B463A"/>
    <w:multiLevelType w:val="hybridMultilevel"/>
    <w:tmpl w:val="B824DA0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9684F"/>
    <w:multiLevelType w:val="multilevel"/>
    <w:tmpl w:val="758053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1484333F"/>
    <w:multiLevelType w:val="hybridMultilevel"/>
    <w:tmpl w:val="758053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0D326B"/>
    <w:multiLevelType w:val="multilevel"/>
    <w:tmpl w:val="EC9CD4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0D43D6"/>
    <w:multiLevelType w:val="multilevel"/>
    <w:tmpl w:val="6C80DE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EB1373"/>
    <w:multiLevelType w:val="multilevel"/>
    <w:tmpl w:val="3940CE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45C67B0"/>
    <w:multiLevelType w:val="multilevel"/>
    <w:tmpl w:val="6256E76C"/>
    <w:lvl w:ilvl="0">
      <w:start w:val="1"/>
      <w:numFmt w:val="decimal"/>
      <w:lvlText w:val="%1."/>
      <w:lvlJc w:val="left"/>
      <w:pPr>
        <w:ind w:left="1440" w:hanging="360"/>
      </w:pPr>
      <w:rPr>
        <w:rFonts w:ascii="Arial" w:hAnsi="Arial" w:cs="Aria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D291AEC"/>
    <w:multiLevelType w:val="hybridMultilevel"/>
    <w:tmpl w:val="0CB8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91001"/>
    <w:multiLevelType w:val="hybridMultilevel"/>
    <w:tmpl w:val="2CECC7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E3BF0"/>
    <w:multiLevelType w:val="hybridMultilevel"/>
    <w:tmpl w:val="3940C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4C75D5"/>
    <w:multiLevelType w:val="hybridMultilevel"/>
    <w:tmpl w:val="638E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C4E7F"/>
    <w:multiLevelType w:val="multilevel"/>
    <w:tmpl w:val="2CE478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BA128F"/>
    <w:multiLevelType w:val="multilevel"/>
    <w:tmpl w:val="5C98B7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4"/>
  </w:num>
  <w:num w:numId="2">
    <w:abstractNumId w:val="0"/>
  </w:num>
  <w:num w:numId="3">
    <w:abstractNumId w:val="6"/>
  </w:num>
  <w:num w:numId="4">
    <w:abstractNumId w:val="8"/>
  </w:num>
  <w:num w:numId="5">
    <w:abstractNumId w:val="13"/>
  </w:num>
  <w:num w:numId="6">
    <w:abstractNumId w:val="5"/>
  </w:num>
  <w:num w:numId="7">
    <w:abstractNumId w:val="9"/>
  </w:num>
  <w:num w:numId="8">
    <w:abstractNumId w:val="12"/>
  </w:num>
  <w:num w:numId="9">
    <w:abstractNumId w:val="10"/>
  </w:num>
  <w:num w:numId="10">
    <w:abstractNumId w:val="2"/>
  </w:num>
  <w:num w:numId="11">
    <w:abstractNumId w:val="1"/>
  </w:num>
  <w:num w:numId="12">
    <w:abstractNumId w:val="4"/>
  </w:num>
  <w:num w:numId="13">
    <w:abstractNumId w:val="3"/>
  </w:num>
  <w:num w:numId="14">
    <w:abstractNumId w:val="11"/>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Kelso">
    <w15:presenceInfo w15:providerId="None" w15:userId="Amy Kel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05"/>
    <w:rsid w:val="000440B4"/>
    <w:rsid w:val="00054233"/>
    <w:rsid w:val="00060DD3"/>
    <w:rsid w:val="00076574"/>
    <w:rsid w:val="00082130"/>
    <w:rsid w:val="0008233B"/>
    <w:rsid w:val="000A2A07"/>
    <w:rsid w:val="000B54AD"/>
    <w:rsid w:val="000D19BF"/>
    <w:rsid w:val="000F0413"/>
    <w:rsid w:val="000F0DA7"/>
    <w:rsid w:val="000F2034"/>
    <w:rsid w:val="00137675"/>
    <w:rsid w:val="00172101"/>
    <w:rsid w:val="001F7E02"/>
    <w:rsid w:val="00237463"/>
    <w:rsid w:val="002460FC"/>
    <w:rsid w:val="00256D6A"/>
    <w:rsid w:val="00260A76"/>
    <w:rsid w:val="00265F62"/>
    <w:rsid w:val="00284DF2"/>
    <w:rsid w:val="00286130"/>
    <w:rsid w:val="00297487"/>
    <w:rsid w:val="002E47E2"/>
    <w:rsid w:val="002F73F2"/>
    <w:rsid w:val="00305954"/>
    <w:rsid w:val="00327C59"/>
    <w:rsid w:val="0034755B"/>
    <w:rsid w:val="00364929"/>
    <w:rsid w:val="00381294"/>
    <w:rsid w:val="003A0597"/>
    <w:rsid w:val="003B3947"/>
    <w:rsid w:val="003B7DBF"/>
    <w:rsid w:val="003E4B5A"/>
    <w:rsid w:val="003F28A4"/>
    <w:rsid w:val="004736EA"/>
    <w:rsid w:val="00483B05"/>
    <w:rsid w:val="004B33C4"/>
    <w:rsid w:val="004C52FC"/>
    <w:rsid w:val="004F2FBF"/>
    <w:rsid w:val="00503096"/>
    <w:rsid w:val="00545352"/>
    <w:rsid w:val="00557C21"/>
    <w:rsid w:val="00560C9E"/>
    <w:rsid w:val="0056138C"/>
    <w:rsid w:val="00564146"/>
    <w:rsid w:val="00570C48"/>
    <w:rsid w:val="00581F58"/>
    <w:rsid w:val="005863B0"/>
    <w:rsid w:val="005B56F5"/>
    <w:rsid w:val="005C7F25"/>
    <w:rsid w:val="005D296B"/>
    <w:rsid w:val="0063691E"/>
    <w:rsid w:val="00687D85"/>
    <w:rsid w:val="006D39B4"/>
    <w:rsid w:val="006D5E19"/>
    <w:rsid w:val="006F247C"/>
    <w:rsid w:val="00704BE9"/>
    <w:rsid w:val="0070761E"/>
    <w:rsid w:val="00730009"/>
    <w:rsid w:val="0075157D"/>
    <w:rsid w:val="00752998"/>
    <w:rsid w:val="007A0B31"/>
    <w:rsid w:val="007C216D"/>
    <w:rsid w:val="007D6F01"/>
    <w:rsid w:val="007E3334"/>
    <w:rsid w:val="007E4259"/>
    <w:rsid w:val="007F10CF"/>
    <w:rsid w:val="00820897"/>
    <w:rsid w:val="008508FA"/>
    <w:rsid w:val="00893ABF"/>
    <w:rsid w:val="008A78BE"/>
    <w:rsid w:val="008F1162"/>
    <w:rsid w:val="008F292D"/>
    <w:rsid w:val="008F3CDF"/>
    <w:rsid w:val="0091196B"/>
    <w:rsid w:val="009209C9"/>
    <w:rsid w:val="0092234A"/>
    <w:rsid w:val="00941FC2"/>
    <w:rsid w:val="00977AA0"/>
    <w:rsid w:val="00981FE5"/>
    <w:rsid w:val="009876A3"/>
    <w:rsid w:val="009A2F0D"/>
    <w:rsid w:val="00A22539"/>
    <w:rsid w:val="00A22E31"/>
    <w:rsid w:val="00A435F2"/>
    <w:rsid w:val="00A75F00"/>
    <w:rsid w:val="00A80B7F"/>
    <w:rsid w:val="00A82FD7"/>
    <w:rsid w:val="00AA0DE9"/>
    <w:rsid w:val="00AC281A"/>
    <w:rsid w:val="00AE1A27"/>
    <w:rsid w:val="00AE3BB2"/>
    <w:rsid w:val="00AE7AE3"/>
    <w:rsid w:val="00AF411C"/>
    <w:rsid w:val="00B12E94"/>
    <w:rsid w:val="00B25632"/>
    <w:rsid w:val="00B52C64"/>
    <w:rsid w:val="00B72933"/>
    <w:rsid w:val="00B96EA4"/>
    <w:rsid w:val="00BA76A3"/>
    <w:rsid w:val="00BE7850"/>
    <w:rsid w:val="00C22047"/>
    <w:rsid w:val="00C56B40"/>
    <w:rsid w:val="00C63EFD"/>
    <w:rsid w:val="00C66DA2"/>
    <w:rsid w:val="00C812F9"/>
    <w:rsid w:val="00CB14E0"/>
    <w:rsid w:val="00CC5EA1"/>
    <w:rsid w:val="00CF70C4"/>
    <w:rsid w:val="00D004D1"/>
    <w:rsid w:val="00D1308D"/>
    <w:rsid w:val="00D5573B"/>
    <w:rsid w:val="00D66B46"/>
    <w:rsid w:val="00D737FF"/>
    <w:rsid w:val="00DF46DB"/>
    <w:rsid w:val="00DF5781"/>
    <w:rsid w:val="00E22C49"/>
    <w:rsid w:val="00E31711"/>
    <w:rsid w:val="00E648D6"/>
    <w:rsid w:val="00E7740D"/>
    <w:rsid w:val="00E909C9"/>
    <w:rsid w:val="00E91DC3"/>
    <w:rsid w:val="00E957C9"/>
    <w:rsid w:val="00EB726B"/>
    <w:rsid w:val="00EC02D8"/>
    <w:rsid w:val="00EC7E9B"/>
    <w:rsid w:val="00EE076D"/>
    <w:rsid w:val="00EF7B66"/>
    <w:rsid w:val="00F13D77"/>
    <w:rsid w:val="00F14E1B"/>
    <w:rsid w:val="00F27B75"/>
    <w:rsid w:val="00F9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300B"/>
  <w15:docId w15:val="{BBDD4BDB-D230-D849-A625-FC0B53F3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7E9B"/>
    <w:rPr>
      <w:b/>
      <w:bCs/>
    </w:rPr>
  </w:style>
  <w:style w:type="character" w:customStyle="1" w:styleId="CommentSubjectChar">
    <w:name w:val="Comment Subject Char"/>
    <w:basedOn w:val="CommentTextChar"/>
    <w:link w:val="CommentSubject"/>
    <w:uiPriority w:val="99"/>
    <w:semiHidden/>
    <w:rsid w:val="00EC7E9B"/>
    <w:rPr>
      <w:b/>
      <w:bCs/>
      <w:sz w:val="20"/>
      <w:szCs w:val="20"/>
    </w:rPr>
  </w:style>
  <w:style w:type="paragraph" w:styleId="ListParagraph">
    <w:name w:val="List Paragraph"/>
    <w:basedOn w:val="Normal"/>
    <w:uiPriority w:val="34"/>
    <w:qFormat/>
    <w:rsid w:val="00EC7E9B"/>
    <w:pPr>
      <w:ind w:left="720"/>
      <w:contextualSpacing/>
    </w:pPr>
  </w:style>
  <w:style w:type="character" w:styleId="Hyperlink">
    <w:name w:val="Hyperlink"/>
    <w:basedOn w:val="DefaultParagraphFont"/>
    <w:uiPriority w:val="99"/>
    <w:unhideWhenUsed/>
    <w:rsid w:val="00EC7E9B"/>
    <w:rPr>
      <w:color w:val="0000FF" w:themeColor="hyperlink"/>
      <w:u w:val="single"/>
    </w:rPr>
  </w:style>
  <w:style w:type="character" w:styleId="UnresolvedMention">
    <w:name w:val="Unresolved Mention"/>
    <w:basedOn w:val="DefaultParagraphFont"/>
    <w:uiPriority w:val="99"/>
    <w:semiHidden/>
    <w:unhideWhenUsed/>
    <w:rsid w:val="00EC7E9B"/>
    <w:rPr>
      <w:color w:val="605E5C"/>
      <w:shd w:val="clear" w:color="auto" w:fill="E1DFDD"/>
    </w:rPr>
  </w:style>
  <w:style w:type="character" w:styleId="FollowedHyperlink">
    <w:name w:val="FollowedHyperlink"/>
    <w:basedOn w:val="DefaultParagraphFont"/>
    <w:uiPriority w:val="99"/>
    <w:semiHidden/>
    <w:unhideWhenUsed/>
    <w:rsid w:val="00EC7E9B"/>
    <w:rPr>
      <w:color w:val="800080" w:themeColor="followedHyperlink"/>
      <w:u w:val="single"/>
    </w:rPr>
  </w:style>
  <w:style w:type="paragraph" w:styleId="Revision">
    <w:name w:val="Revision"/>
    <w:hidden/>
    <w:uiPriority w:val="99"/>
    <w:semiHidden/>
    <w:rsid w:val="006D5E19"/>
    <w:pPr>
      <w:spacing w:line="240" w:lineRule="auto"/>
    </w:pPr>
  </w:style>
  <w:style w:type="paragraph" w:styleId="BalloonText">
    <w:name w:val="Balloon Text"/>
    <w:basedOn w:val="Normal"/>
    <w:link w:val="BalloonTextChar"/>
    <w:uiPriority w:val="99"/>
    <w:semiHidden/>
    <w:unhideWhenUsed/>
    <w:rsid w:val="009876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26698">
      <w:bodyDiv w:val="1"/>
      <w:marLeft w:val="0"/>
      <w:marRight w:val="0"/>
      <w:marTop w:val="0"/>
      <w:marBottom w:val="0"/>
      <w:divBdr>
        <w:top w:val="none" w:sz="0" w:space="0" w:color="auto"/>
        <w:left w:val="none" w:sz="0" w:space="0" w:color="auto"/>
        <w:bottom w:val="none" w:sz="0" w:space="0" w:color="auto"/>
        <w:right w:val="none" w:sz="0" w:space="0" w:color="auto"/>
      </w:divBdr>
    </w:div>
    <w:div w:id="512458552">
      <w:bodyDiv w:val="1"/>
      <w:marLeft w:val="0"/>
      <w:marRight w:val="0"/>
      <w:marTop w:val="0"/>
      <w:marBottom w:val="0"/>
      <w:divBdr>
        <w:top w:val="none" w:sz="0" w:space="0" w:color="auto"/>
        <w:left w:val="none" w:sz="0" w:space="0" w:color="auto"/>
        <w:bottom w:val="none" w:sz="0" w:space="0" w:color="auto"/>
        <w:right w:val="none" w:sz="0" w:space="0" w:color="auto"/>
      </w:divBdr>
    </w:div>
    <w:div w:id="534120106">
      <w:bodyDiv w:val="1"/>
      <w:marLeft w:val="0"/>
      <w:marRight w:val="0"/>
      <w:marTop w:val="0"/>
      <w:marBottom w:val="0"/>
      <w:divBdr>
        <w:top w:val="none" w:sz="0" w:space="0" w:color="auto"/>
        <w:left w:val="none" w:sz="0" w:space="0" w:color="auto"/>
        <w:bottom w:val="none" w:sz="0" w:space="0" w:color="auto"/>
        <w:right w:val="none" w:sz="0" w:space="0" w:color="auto"/>
      </w:divBdr>
    </w:div>
    <w:div w:id="534345072">
      <w:bodyDiv w:val="1"/>
      <w:marLeft w:val="0"/>
      <w:marRight w:val="0"/>
      <w:marTop w:val="0"/>
      <w:marBottom w:val="0"/>
      <w:divBdr>
        <w:top w:val="none" w:sz="0" w:space="0" w:color="auto"/>
        <w:left w:val="none" w:sz="0" w:space="0" w:color="auto"/>
        <w:bottom w:val="none" w:sz="0" w:space="0" w:color="auto"/>
        <w:right w:val="none" w:sz="0" w:space="0" w:color="auto"/>
      </w:divBdr>
    </w:div>
    <w:div w:id="779764277">
      <w:bodyDiv w:val="1"/>
      <w:marLeft w:val="0"/>
      <w:marRight w:val="0"/>
      <w:marTop w:val="0"/>
      <w:marBottom w:val="0"/>
      <w:divBdr>
        <w:top w:val="none" w:sz="0" w:space="0" w:color="auto"/>
        <w:left w:val="none" w:sz="0" w:space="0" w:color="auto"/>
        <w:bottom w:val="none" w:sz="0" w:space="0" w:color="auto"/>
        <w:right w:val="none" w:sz="0" w:space="0" w:color="auto"/>
      </w:divBdr>
    </w:div>
    <w:div w:id="788163984">
      <w:bodyDiv w:val="1"/>
      <w:marLeft w:val="0"/>
      <w:marRight w:val="0"/>
      <w:marTop w:val="0"/>
      <w:marBottom w:val="0"/>
      <w:divBdr>
        <w:top w:val="none" w:sz="0" w:space="0" w:color="auto"/>
        <w:left w:val="none" w:sz="0" w:space="0" w:color="auto"/>
        <w:bottom w:val="none" w:sz="0" w:space="0" w:color="auto"/>
        <w:right w:val="none" w:sz="0" w:space="0" w:color="auto"/>
      </w:divBdr>
    </w:div>
    <w:div w:id="881015702">
      <w:bodyDiv w:val="1"/>
      <w:marLeft w:val="0"/>
      <w:marRight w:val="0"/>
      <w:marTop w:val="0"/>
      <w:marBottom w:val="0"/>
      <w:divBdr>
        <w:top w:val="none" w:sz="0" w:space="0" w:color="auto"/>
        <w:left w:val="none" w:sz="0" w:space="0" w:color="auto"/>
        <w:bottom w:val="none" w:sz="0" w:space="0" w:color="auto"/>
        <w:right w:val="none" w:sz="0" w:space="0" w:color="auto"/>
      </w:divBdr>
    </w:div>
    <w:div w:id="909772958">
      <w:bodyDiv w:val="1"/>
      <w:marLeft w:val="0"/>
      <w:marRight w:val="0"/>
      <w:marTop w:val="0"/>
      <w:marBottom w:val="0"/>
      <w:divBdr>
        <w:top w:val="none" w:sz="0" w:space="0" w:color="auto"/>
        <w:left w:val="none" w:sz="0" w:space="0" w:color="auto"/>
        <w:bottom w:val="none" w:sz="0" w:space="0" w:color="auto"/>
        <w:right w:val="none" w:sz="0" w:space="0" w:color="auto"/>
      </w:divBdr>
    </w:div>
    <w:div w:id="922108331">
      <w:bodyDiv w:val="1"/>
      <w:marLeft w:val="0"/>
      <w:marRight w:val="0"/>
      <w:marTop w:val="0"/>
      <w:marBottom w:val="0"/>
      <w:divBdr>
        <w:top w:val="none" w:sz="0" w:space="0" w:color="auto"/>
        <w:left w:val="none" w:sz="0" w:space="0" w:color="auto"/>
        <w:bottom w:val="none" w:sz="0" w:space="0" w:color="auto"/>
        <w:right w:val="none" w:sz="0" w:space="0" w:color="auto"/>
      </w:divBdr>
    </w:div>
    <w:div w:id="1082141759">
      <w:bodyDiv w:val="1"/>
      <w:marLeft w:val="0"/>
      <w:marRight w:val="0"/>
      <w:marTop w:val="0"/>
      <w:marBottom w:val="0"/>
      <w:divBdr>
        <w:top w:val="none" w:sz="0" w:space="0" w:color="auto"/>
        <w:left w:val="none" w:sz="0" w:space="0" w:color="auto"/>
        <w:bottom w:val="none" w:sz="0" w:space="0" w:color="auto"/>
        <w:right w:val="none" w:sz="0" w:space="0" w:color="auto"/>
      </w:divBdr>
    </w:div>
    <w:div w:id="1321495037">
      <w:bodyDiv w:val="1"/>
      <w:marLeft w:val="0"/>
      <w:marRight w:val="0"/>
      <w:marTop w:val="0"/>
      <w:marBottom w:val="0"/>
      <w:divBdr>
        <w:top w:val="none" w:sz="0" w:space="0" w:color="auto"/>
        <w:left w:val="none" w:sz="0" w:space="0" w:color="auto"/>
        <w:bottom w:val="none" w:sz="0" w:space="0" w:color="auto"/>
        <w:right w:val="none" w:sz="0" w:space="0" w:color="auto"/>
      </w:divBdr>
    </w:div>
    <w:div w:id="1382486844">
      <w:bodyDiv w:val="1"/>
      <w:marLeft w:val="0"/>
      <w:marRight w:val="0"/>
      <w:marTop w:val="0"/>
      <w:marBottom w:val="0"/>
      <w:divBdr>
        <w:top w:val="none" w:sz="0" w:space="0" w:color="auto"/>
        <w:left w:val="none" w:sz="0" w:space="0" w:color="auto"/>
        <w:bottom w:val="none" w:sz="0" w:space="0" w:color="auto"/>
        <w:right w:val="none" w:sz="0" w:space="0" w:color="auto"/>
      </w:divBdr>
    </w:div>
    <w:div w:id="1572890225">
      <w:bodyDiv w:val="1"/>
      <w:marLeft w:val="0"/>
      <w:marRight w:val="0"/>
      <w:marTop w:val="0"/>
      <w:marBottom w:val="0"/>
      <w:divBdr>
        <w:top w:val="none" w:sz="0" w:space="0" w:color="auto"/>
        <w:left w:val="none" w:sz="0" w:space="0" w:color="auto"/>
        <w:bottom w:val="none" w:sz="0" w:space="0" w:color="auto"/>
        <w:right w:val="none" w:sz="0" w:space="0" w:color="auto"/>
      </w:divBdr>
    </w:div>
    <w:div w:id="1621448593">
      <w:bodyDiv w:val="1"/>
      <w:marLeft w:val="0"/>
      <w:marRight w:val="0"/>
      <w:marTop w:val="0"/>
      <w:marBottom w:val="0"/>
      <w:divBdr>
        <w:top w:val="none" w:sz="0" w:space="0" w:color="auto"/>
        <w:left w:val="none" w:sz="0" w:space="0" w:color="auto"/>
        <w:bottom w:val="none" w:sz="0" w:space="0" w:color="auto"/>
        <w:right w:val="none" w:sz="0" w:space="0" w:color="auto"/>
      </w:divBdr>
    </w:div>
    <w:div w:id="1687752363">
      <w:bodyDiv w:val="1"/>
      <w:marLeft w:val="0"/>
      <w:marRight w:val="0"/>
      <w:marTop w:val="0"/>
      <w:marBottom w:val="0"/>
      <w:divBdr>
        <w:top w:val="none" w:sz="0" w:space="0" w:color="auto"/>
        <w:left w:val="none" w:sz="0" w:space="0" w:color="auto"/>
        <w:bottom w:val="none" w:sz="0" w:space="0" w:color="auto"/>
        <w:right w:val="none" w:sz="0" w:space="0" w:color="auto"/>
      </w:divBdr>
    </w:div>
    <w:div w:id="1809588331">
      <w:bodyDiv w:val="1"/>
      <w:marLeft w:val="0"/>
      <w:marRight w:val="0"/>
      <w:marTop w:val="0"/>
      <w:marBottom w:val="0"/>
      <w:divBdr>
        <w:top w:val="none" w:sz="0" w:space="0" w:color="auto"/>
        <w:left w:val="none" w:sz="0" w:space="0" w:color="auto"/>
        <w:bottom w:val="none" w:sz="0" w:space="0" w:color="auto"/>
        <w:right w:val="none" w:sz="0" w:space="0" w:color="auto"/>
      </w:divBdr>
      <w:divsChild>
        <w:div w:id="187063375">
          <w:marLeft w:val="0"/>
          <w:marRight w:val="0"/>
          <w:marTop w:val="0"/>
          <w:marBottom w:val="0"/>
          <w:divBdr>
            <w:top w:val="none" w:sz="0" w:space="0" w:color="auto"/>
            <w:left w:val="none" w:sz="0" w:space="0" w:color="auto"/>
            <w:bottom w:val="none" w:sz="0" w:space="0" w:color="auto"/>
            <w:right w:val="none" w:sz="0" w:space="0" w:color="auto"/>
          </w:divBdr>
        </w:div>
      </w:divsChild>
    </w:div>
    <w:div w:id="181456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al.uncc.edu/policies/up-309" TargetMode="External"/><Relationship Id="rId13" Type="http://schemas.microsoft.com/office/2016/09/relationships/commentsIds" Target="commentsIds.xml"/><Relationship Id="rId18" Type="http://schemas.openxmlformats.org/officeDocument/2006/relationships/hyperlink" Target="https://legal.uncc.edu/policies/up-40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pa.org/science/leadership/students/authorship-paper" TargetMode="External"/><Relationship Id="rId7" Type="http://schemas.openxmlformats.org/officeDocument/2006/relationships/hyperlink" Target="https://legal.uncc.edu/policies/up-102.13" TargetMode="External"/><Relationship Id="rId12" Type="http://schemas.microsoft.com/office/2011/relationships/commentsExtended" Target="commentsExtended.xml"/><Relationship Id="rId17" Type="http://schemas.openxmlformats.org/officeDocument/2006/relationships/hyperlink" Target="https://legal.uncc.edu/policies/up-309" TargetMode="External"/><Relationship Id="rId25" Type="http://schemas.openxmlformats.org/officeDocument/2006/relationships/hyperlink" Target="https://www.tandfonline.com/doi/pdf/10.1080/03007995.2018.1451832" TargetMode="External"/><Relationship Id="rId2" Type="http://schemas.openxmlformats.org/officeDocument/2006/relationships/styles" Target="styles.xml"/><Relationship Id="rId16" Type="http://schemas.openxmlformats.org/officeDocument/2006/relationships/hyperlink" Target="https://sass.uncc.edu/students" TargetMode="External"/><Relationship Id="rId20" Type="http://schemas.openxmlformats.org/officeDocument/2006/relationships/hyperlink" Target="https://www.apa.org/research/responsible/publication"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s://journals.ieeeauthorcenter.ieee.org/become-an-ieee-journal-author/publishing-ethics/ethical-requirements/" TargetMode="External"/><Relationship Id="rId5" Type="http://schemas.openxmlformats.org/officeDocument/2006/relationships/footnotes" Target="footnotes.xml"/><Relationship Id="rId15" Type="http://schemas.openxmlformats.org/officeDocument/2006/relationships/hyperlink" Target="https://graduateschool.uncc.edu/current-students/ombudsman" TargetMode="External"/><Relationship Id="rId23" Type="http://schemas.openxmlformats.org/officeDocument/2006/relationships/hyperlink" Target="http://www.icmje.org/icmje-recommendations.pdf" TargetMode="External"/><Relationship Id="rId28" Type="http://schemas.openxmlformats.org/officeDocument/2006/relationships/theme" Target="theme/theme1.xml"/><Relationship Id="rId10" Type="http://schemas.openxmlformats.org/officeDocument/2006/relationships/hyperlink" Target="https://publicationethics.org/files/COPE_DD_A4_Authorship_SEPT19_SCREEN_AW.pdf" TargetMode="External"/><Relationship Id="rId19" Type="http://schemas.openxmlformats.org/officeDocument/2006/relationships/hyperlink" Target="https://legal.uncc.edu/policies/up-803" TargetMode="External"/><Relationship Id="rId4" Type="http://schemas.openxmlformats.org/officeDocument/2006/relationships/webSettings" Target="webSettings.xml"/><Relationship Id="rId9" Type="http://schemas.openxmlformats.org/officeDocument/2006/relationships/hyperlink" Target="https://legal.uncc.edu/policies/up-407" TargetMode="External"/><Relationship Id="rId14" Type="http://schemas.openxmlformats.org/officeDocument/2006/relationships/hyperlink" Target="https://ombuds.uncc.edu/" TargetMode="External"/><Relationship Id="rId22" Type="http://schemas.openxmlformats.org/officeDocument/2006/relationships/hyperlink" Target="https://publicationethics.org/files/COPE_DD_A4_Authorship_SEPT19_SCREEN_AW.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2937</Words>
  <Characters>14191</Characters>
  <Application>Microsoft Office Word</Application>
  <DocSecurity>0</DocSecurity>
  <Lines>946</Lines>
  <Paragraphs>372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Wyse</dc:creator>
  <cp:lastModifiedBy>Matt Wyse</cp:lastModifiedBy>
  <cp:revision>2</cp:revision>
  <dcterms:created xsi:type="dcterms:W3CDTF">2021-04-23T13:43:00Z</dcterms:created>
  <dcterms:modified xsi:type="dcterms:W3CDTF">2021-04-23T13:43:00Z</dcterms:modified>
</cp:coreProperties>
</file>